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EC" w:rsidRDefault="005E00EC" w:rsidP="005E00EC">
      <w:pPr>
        <w:spacing w:after="0" w:line="240" w:lineRule="auto"/>
        <w:contextualSpacing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DC3145">
        <w:rPr>
          <w:rFonts w:ascii="Verdana" w:hAnsi="Verdana" w:cs="Arial"/>
          <w:b/>
          <w:sz w:val="32"/>
          <w:szCs w:val="32"/>
          <w:u w:val="single"/>
        </w:rPr>
        <w:t>Staff Required</w:t>
      </w:r>
    </w:p>
    <w:p w:rsidR="005E00EC" w:rsidRDefault="005E00EC" w:rsidP="005E00EC">
      <w:pPr>
        <w:spacing w:after="0" w:line="240" w:lineRule="auto"/>
        <w:contextualSpacing/>
        <w:jc w:val="center"/>
        <w:rPr>
          <w:rFonts w:ascii="Verdana" w:hAnsi="Verdana" w:cs="Arial"/>
          <w:sz w:val="32"/>
          <w:szCs w:val="32"/>
        </w:rPr>
      </w:pPr>
    </w:p>
    <w:p w:rsidR="005E00EC" w:rsidRPr="00A7079B" w:rsidRDefault="005E00EC" w:rsidP="005E00EC">
      <w:pPr>
        <w:spacing w:after="0" w:line="360" w:lineRule="auto"/>
        <w:contextualSpacing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32"/>
          <w:szCs w:val="32"/>
        </w:rPr>
        <w:tab/>
      </w:r>
      <w:r w:rsidRPr="00A7079B">
        <w:rPr>
          <w:rFonts w:ascii="Verdana" w:hAnsi="Verdana" w:cs="Arial"/>
          <w:sz w:val="24"/>
          <w:szCs w:val="24"/>
        </w:rPr>
        <w:t>Institute of Space Technology (IST) invites applications for the position</w:t>
      </w:r>
      <w:r w:rsidR="004325CC">
        <w:rPr>
          <w:rFonts w:ascii="Verdana" w:hAnsi="Verdana" w:cs="Arial"/>
          <w:sz w:val="24"/>
          <w:szCs w:val="24"/>
        </w:rPr>
        <w:t>s</w:t>
      </w:r>
      <w:r w:rsidRPr="00A7079B">
        <w:rPr>
          <w:rFonts w:ascii="Verdana" w:hAnsi="Verdana" w:cs="Arial"/>
          <w:sz w:val="24"/>
          <w:szCs w:val="24"/>
        </w:rPr>
        <w:t xml:space="preserve"> of </w:t>
      </w:r>
      <w:r>
        <w:rPr>
          <w:rFonts w:ascii="Verdana" w:hAnsi="Verdana" w:cs="Arial"/>
          <w:sz w:val="24"/>
          <w:szCs w:val="24"/>
        </w:rPr>
        <w:t>Driver</w:t>
      </w:r>
      <w:r w:rsidRPr="00A7079B">
        <w:rPr>
          <w:rFonts w:ascii="Verdana" w:hAnsi="Verdana" w:cs="Arial"/>
          <w:sz w:val="24"/>
          <w:szCs w:val="24"/>
        </w:rPr>
        <w:t xml:space="preserve"> on the basis of Fixed Pay Contract as per following </w:t>
      </w:r>
      <w:proofErr w:type="gramStart"/>
      <w:r>
        <w:rPr>
          <w:rFonts w:ascii="Verdana" w:hAnsi="Verdana" w:cs="Arial"/>
          <w:sz w:val="24"/>
          <w:szCs w:val="24"/>
        </w:rPr>
        <w:t>details:</w:t>
      </w:r>
      <w:r w:rsidRPr="00A7079B">
        <w:rPr>
          <w:rFonts w:ascii="Verdana" w:hAnsi="Verdana" w:cs="Arial"/>
          <w:sz w:val="24"/>
          <w:szCs w:val="24"/>
        </w:rPr>
        <w:t>-</w:t>
      </w:r>
      <w:proofErr w:type="gramEnd"/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936"/>
        <w:gridCol w:w="3739"/>
        <w:gridCol w:w="5760"/>
      </w:tblGrid>
      <w:tr w:rsidR="005E00EC" w:rsidRPr="00A7079B" w:rsidTr="005F7639">
        <w:trPr>
          <w:trHeight w:val="431"/>
        </w:trPr>
        <w:tc>
          <w:tcPr>
            <w:tcW w:w="936" w:type="dxa"/>
            <w:vAlign w:val="center"/>
          </w:tcPr>
          <w:p w:rsidR="005E00EC" w:rsidRPr="00A7079B" w:rsidRDefault="005E00EC" w:rsidP="00000003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after="0" w:line="48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5E00EC" w:rsidRPr="00174EFC" w:rsidRDefault="005E00EC" w:rsidP="00000003">
            <w:pPr>
              <w:pStyle w:val="ListParagraph"/>
              <w:tabs>
                <w:tab w:val="left" w:pos="315"/>
              </w:tabs>
              <w:spacing w:after="0" w:line="48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74EFC">
              <w:rPr>
                <w:rFonts w:ascii="Verdana" w:hAnsi="Verdana" w:cs="Arial"/>
                <w:sz w:val="24"/>
                <w:szCs w:val="24"/>
              </w:rPr>
              <w:t>Position</w:t>
            </w:r>
          </w:p>
        </w:tc>
        <w:tc>
          <w:tcPr>
            <w:tcW w:w="5760" w:type="dxa"/>
            <w:vAlign w:val="center"/>
          </w:tcPr>
          <w:p w:rsidR="005E00EC" w:rsidRPr="00174EFC" w:rsidRDefault="005E00EC" w:rsidP="00000003">
            <w:pPr>
              <w:tabs>
                <w:tab w:val="left" w:pos="315"/>
              </w:tabs>
              <w:spacing w:line="480" w:lineRule="auto"/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Driver</w:t>
            </w:r>
          </w:p>
        </w:tc>
      </w:tr>
      <w:tr w:rsidR="005E00EC" w:rsidRPr="00DC3145" w:rsidTr="005F7639">
        <w:trPr>
          <w:trHeight w:val="710"/>
        </w:trPr>
        <w:tc>
          <w:tcPr>
            <w:tcW w:w="936" w:type="dxa"/>
            <w:vAlign w:val="center"/>
          </w:tcPr>
          <w:p w:rsidR="005E00EC" w:rsidRPr="00DC3145" w:rsidRDefault="005E00EC" w:rsidP="00000003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5E00EC" w:rsidRPr="00DC3145" w:rsidRDefault="005E00EC" w:rsidP="00000003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Academic </w:t>
            </w:r>
            <w:r w:rsidRPr="00DC3145">
              <w:rPr>
                <w:rFonts w:ascii="Verdana" w:hAnsi="Verdana" w:cs="Arial"/>
                <w:sz w:val="24"/>
                <w:szCs w:val="24"/>
              </w:rPr>
              <w:t>Qualification</w:t>
            </w:r>
          </w:p>
        </w:tc>
        <w:tc>
          <w:tcPr>
            <w:tcW w:w="5760" w:type="dxa"/>
            <w:vAlign w:val="center"/>
          </w:tcPr>
          <w:p w:rsidR="005E00EC" w:rsidRDefault="005E00EC" w:rsidP="00000003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44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Intermediate with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01 year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experience</w:t>
            </w:r>
            <w:r w:rsidRPr="00626523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:rsidR="005E00EC" w:rsidRDefault="005E00EC" w:rsidP="00000003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44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Matric with 0</w:t>
            </w:r>
            <w:r w:rsidR="004F3F87">
              <w:rPr>
                <w:rFonts w:ascii="Verdana" w:hAnsi="Verdana" w:cs="Arial"/>
                <w:sz w:val="24"/>
                <w:szCs w:val="24"/>
              </w:rPr>
              <w:t>2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Arial"/>
                <w:sz w:val="24"/>
                <w:szCs w:val="24"/>
              </w:rPr>
              <w:t>years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experience</w:t>
            </w:r>
            <w:proofErr w:type="spellEnd"/>
          </w:p>
          <w:p w:rsidR="005E00EC" w:rsidRPr="00336425" w:rsidRDefault="005E00EC" w:rsidP="004F3F8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44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626523">
              <w:rPr>
                <w:rFonts w:ascii="Verdana" w:hAnsi="Verdana" w:cs="Arial"/>
                <w:sz w:val="24"/>
                <w:szCs w:val="24"/>
              </w:rPr>
              <w:t>Under Matric</w:t>
            </w:r>
            <w:r>
              <w:rPr>
                <w:rFonts w:ascii="Verdana" w:hAnsi="Verdana" w:cs="Arial"/>
                <w:sz w:val="24"/>
                <w:szCs w:val="24"/>
              </w:rPr>
              <w:t xml:space="preserve"> with 0</w:t>
            </w:r>
            <w:r w:rsidR="004F3F87">
              <w:rPr>
                <w:rFonts w:ascii="Verdana" w:hAnsi="Verdana" w:cs="Arial"/>
                <w:sz w:val="24"/>
                <w:szCs w:val="24"/>
              </w:rPr>
              <w:t>3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years experience</w:t>
            </w:r>
            <w:proofErr w:type="spellEnd"/>
          </w:p>
        </w:tc>
      </w:tr>
      <w:tr w:rsidR="005E00EC" w:rsidRPr="00DC3145" w:rsidTr="005F7639">
        <w:trPr>
          <w:trHeight w:val="710"/>
        </w:trPr>
        <w:tc>
          <w:tcPr>
            <w:tcW w:w="936" w:type="dxa"/>
            <w:vAlign w:val="center"/>
          </w:tcPr>
          <w:p w:rsidR="005E00EC" w:rsidRPr="00DC3145" w:rsidRDefault="005E00EC" w:rsidP="00000003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5E00EC" w:rsidRDefault="005E00EC" w:rsidP="00000003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License</w:t>
            </w:r>
          </w:p>
        </w:tc>
        <w:tc>
          <w:tcPr>
            <w:tcW w:w="5760" w:type="dxa"/>
            <w:vAlign w:val="center"/>
          </w:tcPr>
          <w:p w:rsidR="005E00EC" w:rsidRPr="00336425" w:rsidRDefault="005E00EC" w:rsidP="00000003">
            <w:pPr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Holder of valid Driving License (LTV/HTV)</w:t>
            </w:r>
          </w:p>
        </w:tc>
      </w:tr>
      <w:tr w:rsidR="00FC3D96" w:rsidRPr="00DC3145" w:rsidTr="005F7639">
        <w:trPr>
          <w:trHeight w:val="753"/>
        </w:trPr>
        <w:tc>
          <w:tcPr>
            <w:tcW w:w="936" w:type="dxa"/>
            <w:vAlign w:val="center"/>
          </w:tcPr>
          <w:p w:rsidR="00FC3D96" w:rsidRPr="00DC3145" w:rsidRDefault="00FC3D96" w:rsidP="00FC3D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FC3D96" w:rsidRDefault="00FC3D96" w:rsidP="00FC3D96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Fixed Pay</w:t>
            </w:r>
          </w:p>
          <w:p w:rsidR="00FC3D96" w:rsidRPr="00DC3145" w:rsidRDefault="00FC3D96" w:rsidP="00FC3D96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(As per IST’s Fixed Pay SOP)</w:t>
            </w:r>
          </w:p>
        </w:tc>
        <w:tc>
          <w:tcPr>
            <w:tcW w:w="5760" w:type="dxa"/>
            <w:vAlign w:val="center"/>
          </w:tcPr>
          <w:p w:rsidR="00FC3D96" w:rsidRPr="006B7972" w:rsidRDefault="0069593F" w:rsidP="002C36F3">
            <w:pPr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Equivalent to BPS-4</w:t>
            </w:r>
          </w:p>
        </w:tc>
      </w:tr>
      <w:tr w:rsidR="005E00EC" w:rsidRPr="00DC3145" w:rsidTr="005F7639">
        <w:trPr>
          <w:trHeight w:val="753"/>
        </w:trPr>
        <w:tc>
          <w:tcPr>
            <w:tcW w:w="936" w:type="dxa"/>
            <w:vAlign w:val="center"/>
          </w:tcPr>
          <w:p w:rsidR="005E00EC" w:rsidRPr="00DC3145" w:rsidRDefault="005E00EC" w:rsidP="000000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5E00EC" w:rsidRDefault="005E00EC" w:rsidP="00000003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Contract Period</w:t>
            </w:r>
          </w:p>
        </w:tc>
        <w:tc>
          <w:tcPr>
            <w:tcW w:w="5760" w:type="dxa"/>
            <w:vAlign w:val="center"/>
          </w:tcPr>
          <w:p w:rsidR="005E00EC" w:rsidRDefault="005E00EC" w:rsidP="00000003">
            <w:pPr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For a period of one year (renewable) with effect from the date of joining</w:t>
            </w:r>
          </w:p>
        </w:tc>
      </w:tr>
    </w:tbl>
    <w:p w:rsidR="005E00EC" w:rsidRDefault="005E00EC" w:rsidP="005E00EC">
      <w:pPr>
        <w:spacing w:line="240" w:lineRule="auto"/>
      </w:pPr>
    </w:p>
    <w:tbl>
      <w:tblPr>
        <w:tblStyle w:val="TableGrid"/>
        <w:tblW w:w="10440" w:type="dxa"/>
        <w:tblInd w:w="-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5E00EC" w:rsidRPr="00FE3570" w:rsidTr="00000003">
        <w:trPr>
          <w:trHeight w:val="186"/>
        </w:trPr>
        <w:tc>
          <w:tcPr>
            <w:tcW w:w="10440" w:type="dxa"/>
            <w:shd w:val="clear" w:color="auto" w:fill="F2F2F2" w:themeFill="background1" w:themeFillShade="F2"/>
          </w:tcPr>
          <w:p w:rsidR="005E00EC" w:rsidRPr="00FE3570" w:rsidRDefault="005E00EC" w:rsidP="00000003">
            <w:pPr>
              <w:jc w:val="center"/>
              <w:rPr>
                <w:b/>
                <w:sz w:val="26"/>
              </w:rPr>
            </w:pPr>
            <w:r w:rsidRPr="00FE3570">
              <w:rPr>
                <w:rFonts w:ascii="Arial" w:hAnsi="Arial" w:cs="Arial"/>
                <w:sz w:val="24"/>
                <w:szCs w:val="24"/>
              </w:rPr>
              <w:br w:type="page"/>
            </w:r>
            <w:r w:rsidRPr="00FE3570">
              <w:rPr>
                <w:b/>
                <w:sz w:val="26"/>
              </w:rPr>
              <w:t>APPLICATION GUIDELINES / INSTRUCTIONS</w:t>
            </w:r>
          </w:p>
        </w:tc>
      </w:tr>
    </w:tbl>
    <w:p w:rsidR="005E00EC" w:rsidRDefault="005E00EC" w:rsidP="005E00EC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078B5" w:rsidRPr="00AA1B09" w:rsidRDefault="005078B5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All </w:t>
      </w:r>
      <w:r w:rsidRPr="005C561E">
        <w:rPr>
          <w:rFonts w:ascii="Arial" w:hAnsi="Arial" w:cs="Arial"/>
          <w:color w:val="000000" w:themeColor="text1"/>
          <w:sz w:val="20"/>
          <w:szCs w:val="20"/>
        </w:rPr>
        <w:t>qualifications should only be from the Board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5C561E">
        <w:rPr>
          <w:rFonts w:ascii="Arial" w:hAnsi="Arial" w:cs="Arial"/>
          <w:color w:val="000000" w:themeColor="text1"/>
          <w:sz w:val="20"/>
          <w:szCs w:val="20"/>
        </w:rPr>
        <w:t xml:space="preserve"> of Intermediate &amp; Secondary Education recognized by the </w:t>
      </w:r>
      <w:r>
        <w:rPr>
          <w:rFonts w:ascii="Arial" w:hAnsi="Arial" w:cs="Arial"/>
          <w:color w:val="000000" w:themeColor="text1"/>
          <w:sz w:val="20"/>
          <w:szCs w:val="20"/>
        </w:rPr>
        <w:t>Federal/AJK/respective Provincial Government.</w:t>
      </w:r>
    </w:p>
    <w:p w:rsidR="005078B5" w:rsidRPr="00300BDB" w:rsidRDefault="005078B5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positions are </w:t>
      </w:r>
      <w:r w:rsidRPr="00300BDB">
        <w:rPr>
          <w:rFonts w:ascii="Arial" w:hAnsi="Arial" w:cs="Arial"/>
          <w:sz w:val="20"/>
          <w:szCs w:val="20"/>
        </w:rPr>
        <w:t>Islamabad based. Interviews will be conducted at IST, Islamabad campus</w:t>
      </w:r>
      <w:r>
        <w:rPr>
          <w:rFonts w:ascii="Arial" w:hAnsi="Arial" w:cs="Arial"/>
          <w:sz w:val="20"/>
          <w:szCs w:val="20"/>
        </w:rPr>
        <w:t>.</w:t>
      </w:r>
    </w:p>
    <w:p w:rsidR="005078B5" w:rsidRPr="005C561E" w:rsidRDefault="005078B5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Only short listed candidates will be called for interviews</w:t>
      </w:r>
      <w:r>
        <w:rPr>
          <w:rFonts w:ascii="Arial" w:hAnsi="Arial" w:cs="Arial"/>
          <w:sz w:val="20"/>
          <w:szCs w:val="20"/>
        </w:rPr>
        <w:t>.</w:t>
      </w:r>
    </w:p>
    <w:p w:rsidR="005078B5" w:rsidRPr="005C561E" w:rsidRDefault="005078B5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Compliance to eligib</w:t>
      </w:r>
      <w:r>
        <w:rPr>
          <w:rFonts w:ascii="Arial" w:hAnsi="Arial" w:cs="Arial"/>
          <w:sz w:val="20"/>
          <w:szCs w:val="20"/>
        </w:rPr>
        <w:t>ility criteria for the positions</w:t>
      </w:r>
      <w:r w:rsidRPr="005C561E">
        <w:rPr>
          <w:rFonts w:ascii="Arial" w:hAnsi="Arial" w:cs="Arial"/>
          <w:sz w:val="20"/>
          <w:szCs w:val="20"/>
        </w:rPr>
        <w:t xml:space="preserve"> do not guarantee short listing for interview</w:t>
      </w:r>
      <w:r>
        <w:rPr>
          <w:rFonts w:ascii="Arial" w:hAnsi="Arial" w:cs="Arial"/>
          <w:sz w:val="20"/>
          <w:szCs w:val="20"/>
        </w:rPr>
        <w:t>.</w:t>
      </w:r>
    </w:p>
    <w:p w:rsidR="005078B5" w:rsidRPr="005C561E" w:rsidRDefault="005078B5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Incomplete / Late applications will not be processed further / considered. Only hard copies will be accepted</w:t>
      </w:r>
      <w:r>
        <w:rPr>
          <w:rFonts w:ascii="Arial" w:hAnsi="Arial" w:cs="Arial"/>
          <w:sz w:val="20"/>
          <w:szCs w:val="20"/>
        </w:rPr>
        <w:t>.</w:t>
      </w:r>
    </w:p>
    <w:p w:rsidR="005078B5" w:rsidRPr="005C561E" w:rsidRDefault="005078B5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TA / DA will not be admissible for appearing in the interview</w:t>
      </w:r>
      <w:r>
        <w:rPr>
          <w:rFonts w:ascii="Arial" w:hAnsi="Arial" w:cs="Arial"/>
          <w:sz w:val="20"/>
          <w:szCs w:val="20"/>
        </w:rPr>
        <w:t>.</w:t>
      </w:r>
    </w:p>
    <w:p w:rsidR="005078B5" w:rsidRPr="005C561E" w:rsidRDefault="005078B5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IST reserves the right to reject any or all of the ap</w:t>
      </w:r>
      <w:r>
        <w:rPr>
          <w:rFonts w:ascii="Arial" w:hAnsi="Arial" w:cs="Arial"/>
          <w:sz w:val="20"/>
          <w:szCs w:val="20"/>
        </w:rPr>
        <w:t xml:space="preserve">plications received for the positions </w:t>
      </w:r>
      <w:r w:rsidRPr="005C561E">
        <w:rPr>
          <w:rFonts w:ascii="Arial" w:hAnsi="Arial" w:cs="Arial"/>
          <w:sz w:val="20"/>
          <w:szCs w:val="20"/>
        </w:rPr>
        <w:t>without assigning any reason thereof</w:t>
      </w:r>
      <w:r>
        <w:rPr>
          <w:rFonts w:ascii="Arial" w:hAnsi="Arial" w:cs="Arial"/>
          <w:sz w:val="20"/>
          <w:szCs w:val="20"/>
        </w:rPr>
        <w:t>.</w:t>
      </w:r>
    </w:p>
    <w:p w:rsidR="005078B5" w:rsidRPr="005C561E" w:rsidRDefault="005078B5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IST reserves the right to </w:t>
      </w:r>
      <w:r>
        <w:rPr>
          <w:rFonts w:ascii="Arial" w:hAnsi="Arial" w:cs="Arial"/>
          <w:sz w:val="20"/>
          <w:szCs w:val="20"/>
        </w:rPr>
        <w:t>post</w:t>
      </w:r>
      <w:r w:rsidRPr="005C561E">
        <w:rPr>
          <w:rFonts w:ascii="Arial" w:hAnsi="Arial" w:cs="Arial"/>
          <w:sz w:val="20"/>
          <w:szCs w:val="20"/>
        </w:rPr>
        <w:t>pone / cancel the rec</w:t>
      </w:r>
      <w:r>
        <w:rPr>
          <w:rFonts w:ascii="Arial" w:hAnsi="Arial" w:cs="Arial"/>
          <w:sz w:val="20"/>
          <w:szCs w:val="20"/>
        </w:rPr>
        <w:t xml:space="preserve">ruitment / induction on the positions </w:t>
      </w:r>
      <w:r w:rsidRPr="005C561E">
        <w:rPr>
          <w:rFonts w:ascii="Arial" w:hAnsi="Arial" w:cs="Arial"/>
          <w:sz w:val="20"/>
          <w:szCs w:val="20"/>
        </w:rPr>
        <w:t>at any stage, without assigning any reason thereof</w:t>
      </w:r>
      <w:r>
        <w:rPr>
          <w:rFonts w:ascii="Arial" w:hAnsi="Arial" w:cs="Arial"/>
          <w:sz w:val="20"/>
          <w:szCs w:val="20"/>
        </w:rPr>
        <w:t>.</w:t>
      </w:r>
      <w:r w:rsidRPr="005C561E">
        <w:rPr>
          <w:rFonts w:ascii="Arial" w:hAnsi="Arial" w:cs="Arial"/>
          <w:sz w:val="20"/>
          <w:szCs w:val="20"/>
        </w:rPr>
        <w:t xml:space="preserve"> </w:t>
      </w:r>
    </w:p>
    <w:p w:rsidR="005078B5" w:rsidRPr="005C561E" w:rsidRDefault="005078B5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The decision of the Institute in all matters regarding recruitment on the </w:t>
      </w:r>
      <w:r>
        <w:rPr>
          <w:rFonts w:ascii="Arial" w:hAnsi="Arial" w:cs="Arial"/>
          <w:sz w:val="20"/>
          <w:szCs w:val="20"/>
        </w:rPr>
        <w:t>positions</w:t>
      </w:r>
      <w:r w:rsidRPr="005C561E">
        <w:rPr>
          <w:rFonts w:ascii="Arial" w:hAnsi="Arial" w:cs="Arial"/>
          <w:sz w:val="20"/>
          <w:szCs w:val="20"/>
        </w:rPr>
        <w:t xml:space="preserve"> would be final and binding, and no correspondence in this regard will be entertained</w:t>
      </w:r>
      <w:r>
        <w:rPr>
          <w:rFonts w:ascii="Arial" w:hAnsi="Arial" w:cs="Arial"/>
          <w:sz w:val="20"/>
          <w:szCs w:val="20"/>
        </w:rPr>
        <w:t>.</w:t>
      </w:r>
    </w:p>
    <w:p w:rsidR="005078B5" w:rsidRPr="005C561E" w:rsidRDefault="005078B5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Please mark the </w:t>
      </w:r>
      <w:r>
        <w:rPr>
          <w:rFonts w:ascii="Arial" w:hAnsi="Arial" w:cs="Arial"/>
          <w:sz w:val="20"/>
          <w:szCs w:val="20"/>
        </w:rPr>
        <w:t>position</w:t>
      </w:r>
      <w:r w:rsidRPr="005C561E">
        <w:rPr>
          <w:rFonts w:ascii="Arial" w:hAnsi="Arial" w:cs="Arial"/>
          <w:sz w:val="20"/>
          <w:szCs w:val="20"/>
        </w:rPr>
        <w:t xml:space="preserve"> on the right hand side of the envelope</w:t>
      </w:r>
      <w:r>
        <w:rPr>
          <w:rFonts w:ascii="Arial" w:hAnsi="Arial" w:cs="Arial"/>
          <w:sz w:val="20"/>
          <w:szCs w:val="20"/>
        </w:rPr>
        <w:t>.</w:t>
      </w:r>
    </w:p>
    <w:p w:rsidR="005078B5" w:rsidRPr="005C561E" w:rsidRDefault="00DC4380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Completely filled and duly signed Application Form along with detail updated CV, attested photocopies o</w:t>
      </w:r>
      <w:r>
        <w:rPr>
          <w:rFonts w:ascii="Arial" w:hAnsi="Arial" w:cs="Arial"/>
          <w:sz w:val="20"/>
          <w:szCs w:val="20"/>
        </w:rPr>
        <w:t xml:space="preserve">f the degrees, </w:t>
      </w:r>
      <w:r w:rsidRPr="005C561E">
        <w:rPr>
          <w:rFonts w:ascii="Arial" w:hAnsi="Arial" w:cs="Arial"/>
          <w:sz w:val="20"/>
          <w:szCs w:val="20"/>
        </w:rPr>
        <w:t xml:space="preserve">certificates, final marks sheets, experience certificates, </w:t>
      </w:r>
      <w:r>
        <w:rPr>
          <w:rFonts w:ascii="Arial" w:hAnsi="Arial" w:cs="Arial"/>
          <w:sz w:val="20"/>
          <w:szCs w:val="20"/>
        </w:rPr>
        <w:t xml:space="preserve">School Leaving Certificate (if under matric), </w:t>
      </w:r>
      <w:r w:rsidRPr="005C561E">
        <w:rPr>
          <w:rFonts w:ascii="Arial" w:hAnsi="Arial" w:cs="Arial"/>
          <w:sz w:val="20"/>
          <w:szCs w:val="20"/>
        </w:rPr>
        <w:t xml:space="preserve">CNIC, recent passport size photograph and all other particular documents required to support the candidate’s eligibility for the </w:t>
      </w:r>
      <w:r>
        <w:rPr>
          <w:rFonts w:ascii="Arial" w:hAnsi="Arial" w:cs="Arial"/>
          <w:sz w:val="20"/>
          <w:szCs w:val="20"/>
        </w:rPr>
        <w:t>position</w:t>
      </w:r>
      <w:r w:rsidRPr="005C561E">
        <w:rPr>
          <w:rFonts w:ascii="Arial" w:hAnsi="Arial" w:cs="Arial"/>
          <w:sz w:val="20"/>
          <w:szCs w:val="20"/>
        </w:rPr>
        <w:t xml:space="preserve"> should reach the office of Additional Director (HR) IST on the address given below</w:t>
      </w:r>
      <w:r w:rsidR="005078B5" w:rsidRPr="005C561E">
        <w:rPr>
          <w:rFonts w:ascii="Arial" w:hAnsi="Arial" w:cs="Arial"/>
          <w:sz w:val="20"/>
          <w:szCs w:val="20"/>
        </w:rPr>
        <w:t>:</w:t>
      </w:r>
    </w:p>
    <w:p w:rsidR="005E00EC" w:rsidRPr="00101E98" w:rsidRDefault="005078B5" w:rsidP="005078B5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  <w:r w:rsidRPr="00FE3570"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2C7CFAC5" wp14:editId="51AD22A5">
            <wp:simplePos x="0" y="0"/>
            <wp:positionH relativeFrom="column">
              <wp:posOffset>950026</wp:posOffset>
            </wp:positionH>
            <wp:positionV relativeFrom="paragraph">
              <wp:posOffset>294987</wp:posOffset>
            </wp:positionV>
            <wp:extent cx="794525" cy="457200"/>
            <wp:effectExtent l="0" t="0" r="5715" b="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23" cy="4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 xml:space="preserve">Last date for receipt of applications is </w:t>
      </w:r>
      <w:r w:rsidR="00702EED">
        <w:rPr>
          <w:rFonts w:ascii="Arial" w:hAnsi="Arial" w:cs="Arial"/>
          <w:b/>
          <w:color w:val="000000" w:themeColor="text1"/>
          <w:sz w:val="20"/>
          <w:szCs w:val="20"/>
        </w:rPr>
        <w:t>August 28</w:t>
      </w:r>
      <w:bookmarkStart w:id="0" w:name="_GoBack"/>
      <w:bookmarkEnd w:id="0"/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 xml:space="preserve"> before office closing hours</w:t>
      </w:r>
      <w:r w:rsidR="005E00EC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101E98" w:rsidRPr="001C19C7" w:rsidRDefault="00101E98" w:rsidP="00101E98">
      <w:pPr>
        <w:pStyle w:val="ListParagraph"/>
        <w:ind w:left="360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</w:p>
    <w:p w:rsidR="005E00EC" w:rsidRPr="00FE3570" w:rsidRDefault="005E00EC" w:rsidP="005E00EC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FE3570">
        <w:rPr>
          <w:rFonts w:ascii="Arial" w:hAnsi="Arial" w:cs="Arial"/>
          <w:b/>
          <w:sz w:val="32"/>
          <w:szCs w:val="24"/>
        </w:rPr>
        <w:t>Additional Director (HR)</w:t>
      </w:r>
    </w:p>
    <w:p w:rsidR="005E00EC" w:rsidRPr="00FE3570" w:rsidRDefault="005E00EC" w:rsidP="005E00E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FE3570">
        <w:rPr>
          <w:rFonts w:ascii="Arial" w:hAnsi="Arial" w:cs="Arial"/>
          <w:b/>
          <w:szCs w:val="24"/>
        </w:rPr>
        <w:t>Institute of Space Technology (IST)</w:t>
      </w:r>
    </w:p>
    <w:p w:rsidR="005E00EC" w:rsidRPr="00FE3570" w:rsidRDefault="005E00EC" w:rsidP="005E00EC">
      <w:pPr>
        <w:spacing w:after="0" w:line="240" w:lineRule="auto"/>
        <w:ind w:right="-18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570">
        <w:rPr>
          <w:rFonts w:ascii="Arial" w:hAnsi="Arial" w:cs="Arial"/>
          <w:b/>
          <w:sz w:val="20"/>
          <w:szCs w:val="20"/>
        </w:rPr>
        <w:t>1, Islamabad Highway, Islamabad 44000</w:t>
      </w:r>
    </w:p>
    <w:p w:rsidR="005E00EC" w:rsidRDefault="005E00EC">
      <w:pPr>
        <w:rPr>
          <w:rFonts w:ascii="Verdana" w:hAnsi="Verdana" w:cs="Arial"/>
          <w:b/>
          <w:sz w:val="32"/>
          <w:szCs w:val="32"/>
          <w:u w:val="single"/>
        </w:rPr>
      </w:pPr>
    </w:p>
    <w:sectPr w:rsidR="005E00EC" w:rsidSect="00337A6F">
      <w:pgSz w:w="12240" w:h="15840"/>
      <w:pgMar w:top="90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143"/>
    <w:multiLevelType w:val="hybridMultilevel"/>
    <w:tmpl w:val="23EEA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2536"/>
    <w:multiLevelType w:val="hybridMultilevel"/>
    <w:tmpl w:val="B2807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D4A8F"/>
    <w:multiLevelType w:val="hybridMultilevel"/>
    <w:tmpl w:val="3E40812C"/>
    <w:lvl w:ilvl="0" w:tplc="094287E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5641"/>
    <w:multiLevelType w:val="hybridMultilevel"/>
    <w:tmpl w:val="7D242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22C43"/>
    <w:multiLevelType w:val="hybridMultilevel"/>
    <w:tmpl w:val="5C000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22FD1"/>
    <w:multiLevelType w:val="hybridMultilevel"/>
    <w:tmpl w:val="637C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D5DCD"/>
    <w:multiLevelType w:val="hybridMultilevel"/>
    <w:tmpl w:val="0D4A4E16"/>
    <w:lvl w:ilvl="0" w:tplc="1A96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47E08"/>
    <w:multiLevelType w:val="hybridMultilevel"/>
    <w:tmpl w:val="7264F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00C8D"/>
    <w:multiLevelType w:val="hybridMultilevel"/>
    <w:tmpl w:val="B2807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43034"/>
    <w:multiLevelType w:val="hybridMultilevel"/>
    <w:tmpl w:val="FCC0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E3F0C"/>
    <w:multiLevelType w:val="hybridMultilevel"/>
    <w:tmpl w:val="E250A31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060C3"/>
    <w:multiLevelType w:val="hybridMultilevel"/>
    <w:tmpl w:val="5C000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8C"/>
    <w:rsid w:val="00005DCD"/>
    <w:rsid w:val="0005158C"/>
    <w:rsid w:val="000638C2"/>
    <w:rsid w:val="000646DF"/>
    <w:rsid w:val="00092222"/>
    <w:rsid w:val="0009560E"/>
    <w:rsid w:val="000A436A"/>
    <w:rsid w:val="000E7829"/>
    <w:rsid w:val="00101E98"/>
    <w:rsid w:val="00134C47"/>
    <w:rsid w:val="00143BF6"/>
    <w:rsid w:val="00152747"/>
    <w:rsid w:val="00165E6B"/>
    <w:rsid w:val="00174EFC"/>
    <w:rsid w:val="001A4B38"/>
    <w:rsid w:val="001A70CF"/>
    <w:rsid w:val="001C2285"/>
    <w:rsid w:val="001F7E84"/>
    <w:rsid w:val="00250E4A"/>
    <w:rsid w:val="00256B0E"/>
    <w:rsid w:val="002800EA"/>
    <w:rsid w:val="002B25D6"/>
    <w:rsid w:val="002B6FB9"/>
    <w:rsid w:val="002C36F3"/>
    <w:rsid w:val="00316358"/>
    <w:rsid w:val="00320EE1"/>
    <w:rsid w:val="00321E1B"/>
    <w:rsid w:val="00334F33"/>
    <w:rsid w:val="00336425"/>
    <w:rsid w:val="00337A6F"/>
    <w:rsid w:val="00345742"/>
    <w:rsid w:val="00347158"/>
    <w:rsid w:val="003518A6"/>
    <w:rsid w:val="004325CC"/>
    <w:rsid w:val="00433F22"/>
    <w:rsid w:val="00480DFC"/>
    <w:rsid w:val="004F3F87"/>
    <w:rsid w:val="005078B5"/>
    <w:rsid w:val="0053731C"/>
    <w:rsid w:val="00574164"/>
    <w:rsid w:val="00590979"/>
    <w:rsid w:val="0059122F"/>
    <w:rsid w:val="005A5482"/>
    <w:rsid w:val="005B09B5"/>
    <w:rsid w:val="005B159F"/>
    <w:rsid w:val="005D27E2"/>
    <w:rsid w:val="005E00EC"/>
    <w:rsid w:val="005F5B11"/>
    <w:rsid w:val="005F7639"/>
    <w:rsid w:val="006164A5"/>
    <w:rsid w:val="0062037F"/>
    <w:rsid w:val="00626523"/>
    <w:rsid w:val="00627731"/>
    <w:rsid w:val="0069593F"/>
    <w:rsid w:val="006B7972"/>
    <w:rsid w:val="006D053D"/>
    <w:rsid w:val="006D1D42"/>
    <w:rsid w:val="006D4A49"/>
    <w:rsid w:val="006F6708"/>
    <w:rsid w:val="00702EED"/>
    <w:rsid w:val="00721404"/>
    <w:rsid w:val="007A2A73"/>
    <w:rsid w:val="007F0BB5"/>
    <w:rsid w:val="00825550"/>
    <w:rsid w:val="00860E9B"/>
    <w:rsid w:val="0087651A"/>
    <w:rsid w:val="008A17A7"/>
    <w:rsid w:val="008B3565"/>
    <w:rsid w:val="00915326"/>
    <w:rsid w:val="0093070E"/>
    <w:rsid w:val="00955022"/>
    <w:rsid w:val="00994F16"/>
    <w:rsid w:val="00996362"/>
    <w:rsid w:val="009A2B83"/>
    <w:rsid w:val="009A47D5"/>
    <w:rsid w:val="00A7079B"/>
    <w:rsid w:val="00B1170D"/>
    <w:rsid w:val="00B15B49"/>
    <w:rsid w:val="00BE5B02"/>
    <w:rsid w:val="00C41DF8"/>
    <w:rsid w:val="00C64389"/>
    <w:rsid w:val="00C773BB"/>
    <w:rsid w:val="00CA1170"/>
    <w:rsid w:val="00CB4717"/>
    <w:rsid w:val="00CC4ED1"/>
    <w:rsid w:val="00CD3035"/>
    <w:rsid w:val="00CF5E61"/>
    <w:rsid w:val="00D16C14"/>
    <w:rsid w:val="00D22504"/>
    <w:rsid w:val="00D651B4"/>
    <w:rsid w:val="00DC3145"/>
    <w:rsid w:val="00DC4380"/>
    <w:rsid w:val="00DD6211"/>
    <w:rsid w:val="00E30797"/>
    <w:rsid w:val="00E86C31"/>
    <w:rsid w:val="00F04EB3"/>
    <w:rsid w:val="00F06F89"/>
    <w:rsid w:val="00F42C6C"/>
    <w:rsid w:val="00F55818"/>
    <w:rsid w:val="00F6662A"/>
    <w:rsid w:val="00F70767"/>
    <w:rsid w:val="00FC1416"/>
    <w:rsid w:val="00FC3D96"/>
    <w:rsid w:val="00FC5417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AF2D"/>
  <w15:chartTrackingRefBased/>
  <w15:docId w15:val="{77EEFF17-C189-4C44-B5B8-64D7764D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515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SCO Ind (Faisal Munir)</dc:creator>
  <cp:keywords/>
  <dc:description/>
  <cp:lastModifiedBy>HR SCO Ind (Faisal Munir)</cp:lastModifiedBy>
  <cp:revision>129</cp:revision>
  <cp:lastPrinted>2025-08-13T08:48:00Z</cp:lastPrinted>
  <dcterms:created xsi:type="dcterms:W3CDTF">2024-01-13T10:07:00Z</dcterms:created>
  <dcterms:modified xsi:type="dcterms:W3CDTF">2025-08-13T09:46:00Z</dcterms:modified>
</cp:coreProperties>
</file>