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56D6">
      <w:pPr>
        <w:spacing w:after="240" w:line="360" w:lineRule="auto"/>
        <w:jc w:val="center"/>
        <w:rPr>
          <w:rFonts w:asciiTheme="minorBidi" w:hAnsiTheme="minorBidi"/>
          <w:sz w:val="24"/>
          <w:szCs w:val="24"/>
        </w:rPr>
      </w:pPr>
      <w:bookmarkStart w:id="0" w:name="_GoBack"/>
      <w:bookmarkEnd w:id="0"/>
      <w:r>
        <w:rPr>
          <w:rFonts w:asciiTheme="minorBidi" w:hAnsiTheme="minorBidi"/>
          <w:b/>
          <w:bCs/>
          <w:color w:val="4472C4" w:themeColor="accent5"/>
          <w:sz w:val="28"/>
          <w:szCs w:val="28"/>
          <w14:textFill>
            <w14:solidFill>
              <w14:schemeClr w14:val="accent5"/>
            </w14:solidFill>
          </w14:textFill>
        </w:rPr>
        <w:t xml:space="preserve">HIRING OF AIR TRAVEL SERVICES </w:t>
      </w:r>
      <w:r>
        <w:br w:type="textWrapping"/>
      </w:r>
      <w:r>
        <w:rPr>
          <w:rFonts w:asciiTheme="minorBidi" w:hAnsiTheme="minorBidi"/>
          <w:sz w:val="24"/>
          <w:szCs w:val="24"/>
        </w:rPr>
        <w:t>(Under Framework Agreement)</w:t>
      </w:r>
    </w:p>
    <w:p w14:paraId="1DA7D818">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Tender Notice:</w:t>
      </w:r>
    </w:p>
    <w:p w14:paraId="65677BCF">
      <w:pPr>
        <w:pStyle w:val="4"/>
        <w:numPr>
          <w:ilvl w:val="0"/>
          <w:numId w:val="2"/>
        </w:numPr>
        <w:tabs>
          <w:tab w:val="clear" w:pos="720"/>
        </w:tabs>
        <w:spacing w:line="360" w:lineRule="auto"/>
        <w:ind w:left="0" w:firstLine="0"/>
        <w:contextualSpacing w:val="0"/>
        <w:jc w:val="both"/>
        <w:rPr>
          <w:rFonts w:asciiTheme="minorBidi" w:hAnsiTheme="minorBidi"/>
          <w:sz w:val="24"/>
          <w:szCs w:val="24"/>
        </w:rPr>
      </w:pPr>
      <w:r>
        <w:rPr>
          <w:rFonts w:asciiTheme="minorBidi" w:hAnsiTheme="minorBidi"/>
          <w:sz w:val="24"/>
          <w:szCs w:val="24"/>
        </w:rPr>
        <w:t>The Institute of Space Technology (IST), Islamabad, invites sealed bids from IATA-accredited, tax-compliant travel agencies having active presence in Islamabad/Rawalpindi for the booking of domestic and international airline tickets.</w:t>
      </w:r>
    </w:p>
    <w:p w14:paraId="62EE0A50">
      <w:pPr>
        <w:pStyle w:val="4"/>
        <w:numPr>
          <w:ilvl w:val="0"/>
          <w:numId w:val="2"/>
        </w:numPr>
        <w:tabs>
          <w:tab w:val="clear" w:pos="720"/>
        </w:tabs>
        <w:spacing w:line="360" w:lineRule="auto"/>
        <w:ind w:left="0" w:firstLine="0"/>
        <w:contextualSpacing w:val="0"/>
        <w:jc w:val="both"/>
        <w:rPr>
          <w:rFonts w:asciiTheme="minorBidi" w:hAnsiTheme="minorBidi"/>
          <w:sz w:val="24"/>
          <w:szCs w:val="24"/>
        </w:rPr>
      </w:pPr>
      <w:r>
        <w:rPr>
          <w:rFonts w:asciiTheme="minorBidi" w:hAnsiTheme="minorBidi"/>
          <w:sz w:val="24"/>
          <w:szCs w:val="24"/>
        </w:rPr>
        <w:t>The contract shall be awarded under a non-exclusive open Framework Agreement valid for one year, for handling travel logistics of national and international air travels, particularly for the upcoming International Conference on Applications of Space Science and Technology (ICAST 2025), and generally for the regular needs of the IST. Procurement shall be conducted under Single Stage – One Envelope procedure.</w:t>
      </w:r>
    </w:p>
    <w:p w14:paraId="09F1F0CC">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Purpose of Tender:</w:t>
      </w:r>
    </w:p>
    <w:p w14:paraId="397BABA2">
      <w:pPr>
        <w:pStyle w:val="4"/>
        <w:spacing w:line="360" w:lineRule="auto"/>
        <w:ind w:left="0"/>
        <w:contextualSpacing w:val="0"/>
        <w:jc w:val="both"/>
        <w:rPr>
          <w:rFonts w:asciiTheme="minorBidi" w:hAnsiTheme="minorBidi"/>
          <w:sz w:val="24"/>
          <w:szCs w:val="24"/>
        </w:rPr>
      </w:pPr>
      <w:r>
        <w:rPr>
          <w:rFonts w:asciiTheme="minorBidi" w:hAnsiTheme="minorBidi"/>
          <w:sz w:val="24"/>
          <w:szCs w:val="24"/>
        </w:rPr>
        <w:t>The Institute of Space Technology invites SINGLE STAGE – SINGLE ENVELOPE PROCEDURE (OPEN FRAMEWORK AGREEMENT FOR ONE YEAR) under PPRA Rules from well reputed firms having minimum 5 years; experience in rendering similar services.</w:t>
      </w:r>
    </w:p>
    <w:p w14:paraId="1F6AED96">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Scope of Work/Terms of Reference (TOR’s)</w:t>
      </w:r>
    </w:p>
    <w:p w14:paraId="642956C7">
      <w:pPr>
        <w:spacing w:line="360" w:lineRule="auto"/>
        <w:jc w:val="both"/>
        <w:rPr>
          <w:rFonts w:asciiTheme="minorBidi" w:hAnsiTheme="minorBidi"/>
          <w:sz w:val="24"/>
          <w:szCs w:val="24"/>
        </w:rPr>
      </w:pPr>
      <w:r>
        <w:rPr>
          <w:rFonts w:asciiTheme="minorBidi" w:hAnsiTheme="minorBidi"/>
          <w:sz w:val="24"/>
          <w:szCs w:val="24"/>
        </w:rPr>
        <w:t>The Pre-Qualified applicant shall provide services as per following:</w:t>
      </w:r>
    </w:p>
    <w:p w14:paraId="083DF62F">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Booking and issuance of international/domestic air tickets.</w:t>
      </w:r>
    </w:p>
    <w:p w14:paraId="4C1A0D57">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Booking of waitlisted tickets, delivery of tickets mainly at IST or other designated place(s), including cancellation, visa / passport submission, confirmation / revalidation / upgradation, as per IST instructions.</w:t>
      </w:r>
    </w:p>
    <w:p w14:paraId="1E7E9926">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Assistance for obtaining visas / transit visas and transit stays.</w:t>
      </w:r>
    </w:p>
    <w:p w14:paraId="79C618C6">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Obtaining travel-related insurances.</w:t>
      </w:r>
    </w:p>
    <w:p w14:paraId="3FB15931">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Round the clock availability of dedicated personnel for bookings/cancellations.</w:t>
      </w:r>
    </w:p>
    <w:p w14:paraId="11B790FC">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Assisting travelers with frequent flyer program enrollment.</w:t>
      </w:r>
    </w:p>
    <w:p w14:paraId="4A41C167">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Provision of services at short notice when required.</w:t>
      </w:r>
    </w:p>
    <w:p w14:paraId="57A56C8D">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Offer and explore the best flight schedules and fares, including promotional fares.</w:t>
      </w:r>
    </w:p>
    <w:p w14:paraId="004238CA">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Ensure IST benefits from all airline discounts or special deals.</w:t>
      </w:r>
    </w:p>
    <w:p w14:paraId="07894F83">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Facilitate travel arrangements via foreign carriers not operating in Pakistan.</w:t>
      </w:r>
    </w:p>
    <w:p w14:paraId="39BC1BEC">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Provision of hotel / car rental / other travel-related services as required.</w:t>
      </w:r>
    </w:p>
    <w:p w14:paraId="008811F5">
      <w:pPr>
        <w:pStyle w:val="4"/>
        <w:numPr>
          <w:ilvl w:val="0"/>
          <w:numId w:val="3"/>
        </w:numPr>
        <w:spacing w:line="360" w:lineRule="auto"/>
        <w:ind w:left="714" w:hanging="357"/>
        <w:jc w:val="both"/>
        <w:rPr>
          <w:rFonts w:asciiTheme="minorBidi" w:hAnsiTheme="minorBidi"/>
          <w:sz w:val="24"/>
          <w:szCs w:val="24"/>
        </w:rPr>
      </w:pPr>
      <w:r>
        <w:rPr>
          <w:rFonts w:asciiTheme="minorBidi" w:hAnsiTheme="minorBidi"/>
          <w:sz w:val="24"/>
          <w:szCs w:val="24"/>
        </w:rPr>
        <w:t>Any other travel-related services assigned by IST.</w:t>
      </w:r>
    </w:p>
    <w:p w14:paraId="26AC729F">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Type of Bidding (Open Framework):</w:t>
      </w:r>
    </w:p>
    <w:p w14:paraId="40B5F6EF">
      <w:pPr>
        <w:spacing w:line="360" w:lineRule="auto"/>
        <w:jc w:val="both"/>
        <w:rPr>
          <w:rFonts w:asciiTheme="minorBidi" w:hAnsiTheme="minorBidi"/>
          <w:sz w:val="24"/>
          <w:szCs w:val="24"/>
        </w:rPr>
      </w:pPr>
      <w:r>
        <w:rPr>
          <w:rFonts w:asciiTheme="minorBidi" w:hAnsiTheme="minorBidi"/>
          <w:sz w:val="24"/>
          <w:szCs w:val="24"/>
        </w:rPr>
        <w:t>As per Rule 36 (a), Single Stage-one envelope Bidding Procedure shall be followed. The said Procedure is reproduced as follows:</w:t>
      </w:r>
    </w:p>
    <w:p w14:paraId="1FCEF901">
      <w:pPr>
        <w:pStyle w:val="4"/>
        <w:numPr>
          <w:ilvl w:val="0"/>
          <w:numId w:val="4"/>
        </w:numPr>
        <w:spacing w:line="360" w:lineRule="auto"/>
        <w:jc w:val="both"/>
        <w:rPr>
          <w:rFonts w:asciiTheme="minorBidi" w:hAnsiTheme="minorBidi"/>
          <w:sz w:val="24"/>
          <w:szCs w:val="24"/>
        </w:rPr>
      </w:pPr>
      <w:r>
        <w:rPr>
          <w:rFonts w:asciiTheme="minorBidi" w:hAnsiTheme="minorBidi"/>
          <w:sz w:val="24"/>
          <w:szCs w:val="24"/>
        </w:rPr>
        <w:t>The bid shall be a single envelope technical proposals;</w:t>
      </w:r>
    </w:p>
    <w:p w14:paraId="62336E75">
      <w:pPr>
        <w:pStyle w:val="4"/>
        <w:numPr>
          <w:ilvl w:val="0"/>
          <w:numId w:val="4"/>
        </w:numPr>
        <w:spacing w:line="360" w:lineRule="auto"/>
        <w:ind w:left="714" w:hanging="357"/>
        <w:jc w:val="both"/>
        <w:rPr>
          <w:rFonts w:asciiTheme="minorBidi" w:hAnsiTheme="minorBidi"/>
          <w:sz w:val="24"/>
          <w:szCs w:val="24"/>
        </w:rPr>
      </w:pPr>
      <w:r>
        <w:rPr>
          <w:rFonts w:asciiTheme="minorBidi" w:hAnsiTheme="minorBidi"/>
          <w:sz w:val="24"/>
          <w:szCs w:val="24"/>
        </w:rPr>
        <w:t>In the first instance, the "Technical Proposal" shall be opened;</w:t>
      </w:r>
    </w:p>
    <w:p w14:paraId="712F4454">
      <w:pPr>
        <w:pStyle w:val="4"/>
        <w:numPr>
          <w:ilvl w:val="0"/>
          <w:numId w:val="4"/>
        </w:numPr>
        <w:spacing w:line="360" w:lineRule="auto"/>
        <w:ind w:left="714" w:hanging="357"/>
        <w:jc w:val="both"/>
        <w:rPr>
          <w:rFonts w:asciiTheme="minorBidi" w:hAnsiTheme="minorBidi"/>
          <w:sz w:val="24"/>
          <w:szCs w:val="24"/>
        </w:rPr>
      </w:pPr>
      <w:r>
        <w:rPr>
          <w:rFonts w:asciiTheme="minorBidi" w:hAnsiTheme="minorBidi"/>
          <w:sz w:val="24"/>
          <w:szCs w:val="24"/>
        </w:rPr>
        <w:t>The procuring agency shall evaluate the technical proposal in the manner prescribed in advance, without reference to the price and shall reject any proposal which does not conform to the specified requirements;</w:t>
      </w:r>
    </w:p>
    <w:p w14:paraId="31BC304E">
      <w:pPr>
        <w:pStyle w:val="4"/>
        <w:numPr>
          <w:ilvl w:val="0"/>
          <w:numId w:val="4"/>
        </w:numPr>
        <w:spacing w:line="360" w:lineRule="auto"/>
        <w:ind w:left="714" w:hanging="357"/>
        <w:jc w:val="both"/>
        <w:rPr>
          <w:rFonts w:asciiTheme="minorBidi" w:hAnsiTheme="minorBidi"/>
          <w:sz w:val="24"/>
          <w:szCs w:val="24"/>
        </w:rPr>
      </w:pPr>
      <w:r>
        <w:rPr>
          <w:rFonts w:asciiTheme="minorBidi" w:hAnsiTheme="minorBidi"/>
          <w:sz w:val="24"/>
          <w:szCs w:val="24"/>
        </w:rPr>
        <w:t>During the technical evaluation no amendments in the technical proposal shall be permitted;</w:t>
      </w:r>
    </w:p>
    <w:p w14:paraId="784BDD3C">
      <w:pPr>
        <w:pStyle w:val="4"/>
        <w:numPr>
          <w:ilvl w:val="0"/>
          <w:numId w:val="4"/>
        </w:numPr>
        <w:spacing w:line="360" w:lineRule="auto"/>
        <w:ind w:left="714" w:hanging="357"/>
        <w:jc w:val="both"/>
        <w:rPr>
          <w:rFonts w:asciiTheme="minorBidi" w:hAnsiTheme="minorBidi"/>
          <w:sz w:val="24"/>
          <w:szCs w:val="24"/>
        </w:rPr>
      </w:pPr>
      <w:r>
        <w:rPr>
          <w:rFonts w:asciiTheme="minorBidi" w:hAnsiTheme="minorBidi"/>
          <w:sz w:val="24"/>
          <w:szCs w:val="24"/>
        </w:rPr>
        <w:t>After the evaluation and approval of the technical proposals, the procuring agency shall call the competitive financial proposals from the technically accepted bidders from time to time, under open frame work arrangements.</w:t>
      </w:r>
    </w:p>
    <w:p w14:paraId="56D5A0B0">
      <w:pPr>
        <w:pStyle w:val="4"/>
        <w:numPr>
          <w:ilvl w:val="0"/>
          <w:numId w:val="4"/>
        </w:numPr>
        <w:spacing w:line="360" w:lineRule="auto"/>
        <w:contextualSpacing w:val="0"/>
        <w:jc w:val="both"/>
        <w:rPr>
          <w:rFonts w:asciiTheme="minorBidi" w:hAnsiTheme="minorBidi"/>
          <w:sz w:val="24"/>
          <w:szCs w:val="24"/>
        </w:rPr>
      </w:pPr>
      <w:r>
        <w:rPr>
          <w:rFonts w:asciiTheme="minorBidi" w:hAnsiTheme="minorBidi"/>
          <w:sz w:val="24"/>
          <w:szCs w:val="24"/>
        </w:rPr>
        <w:t>The pre-qualified (technically) evaluated bidder shall be eligible to participate in the financial proposal (when called)</w:t>
      </w:r>
    </w:p>
    <w:p w14:paraId="2CB30175">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Tender Eligibility/Qualification Criteria</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045"/>
        <w:gridCol w:w="5179"/>
        <w:gridCol w:w="873"/>
      </w:tblGrid>
      <w:tr w14:paraId="2736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0B812087">
            <w:pPr>
              <w:spacing w:after="0" w:line="240" w:lineRule="auto"/>
              <w:jc w:val="center"/>
              <w:rPr>
                <w:rFonts w:ascii="Arial" w:hAnsi="Arial" w:eastAsia="Times New Roman" w:cs="Arial"/>
                <w:b/>
                <w:bCs/>
              </w:rPr>
            </w:pPr>
            <w:r>
              <w:rPr>
                <w:rFonts w:ascii="Arial" w:hAnsi="Arial" w:eastAsia="Times New Roman" w:cs="Arial"/>
                <w:b/>
                <w:bCs/>
              </w:rPr>
              <w:t>S. No.</w:t>
            </w:r>
          </w:p>
        </w:tc>
        <w:tc>
          <w:tcPr>
            <w:tcW w:w="1528" w:type="pct"/>
            <w:vAlign w:val="center"/>
          </w:tcPr>
          <w:p w14:paraId="73C9823A">
            <w:pPr>
              <w:spacing w:after="0" w:line="240" w:lineRule="auto"/>
              <w:jc w:val="center"/>
              <w:rPr>
                <w:rFonts w:ascii="Arial" w:hAnsi="Arial" w:eastAsia="Times New Roman" w:cs="Arial"/>
                <w:b/>
                <w:bCs/>
              </w:rPr>
            </w:pPr>
            <w:r>
              <w:rPr>
                <w:rFonts w:ascii="Arial" w:hAnsi="Arial" w:eastAsia="Times New Roman" w:cs="Arial"/>
                <w:b/>
                <w:bCs/>
              </w:rPr>
              <w:t>Evaluation Ground</w:t>
            </w:r>
          </w:p>
        </w:tc>
        <w:tc>
          <w:tcPr>
            <w:tcW w:w="2599" w:type="pct"/>
            <w:vAlign w:val="center"/>
          </w:tcPr>
          <w:p w14:paraId="1495EB33">
            <w:pPr>
              <w:spacing w:after="0" w:line="240" w:lineRule="auto"/>
              <w:jc w:val="center"/>
              <w:rPr>
                <w:rFonts w:ascii="Arial" w:hAnsi="Arial" w:eastAsia="Times New Roman" w:cs="Arial"/>
                <w:b/>
                <w:bCs/>
              </w:rPr>
            </w:pPr>
            <w:r>
              <w:rPr>
                <w:rFonts w:ascii="Arial" w:hAnsi="Arial" w:eastAsia="Times New Roman" w:cs="Arial"/>
                <w:b/>
                <w:bCs/>
              </w:rPr>
              <w:t>Description</w:t>
            </w:r>
          </w:p>
        </w:tc>
        <w:tc>
          <w:tcPr>
            <w:tcW w:w="438" w:type="pct"/>
            <w:vAlign w:val="center"/>
          </w:tcPr>
          <w:p w14:paraId="566CCE61">
            <w:pPr>
              <w:spacing w:after="0" w:line="240" w:lineRule="auto"/>
              <w:jc w:val="center"/>
              <w:rPr>
                <w:rFonts w:ascii="Arial" w:hAnsi="Arial" w:eastAsia="Times New Roman" w:cs="Arial"/>
                <w:b/>
                <w:bCs/>
              </w:rPr>
            </w:pPr>
            <w:r>
              <w:rPr>
                <w:rFonts w:ascii="Arial" w:hAnsi="Arial" w:eastAsia="Times New Roman" w:cs="Arial"/>
                <w:b/>
                <w:bCs/>
              </w:rPr>
              <w:t>Max Marks</w:t>
            </w:r>
          </w:p>
        </w:tc>
      </w:tr>
      <w:tr w14:paraId="51F0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68DC078B">
            <w:pPr>
              <w:pStyle w:val="4"/>
              <w:numPr>
                <w:ilvl w:val="0"/>
                <w:numId w:val="5"/>
              </w:numPr>
              <w:spacing w:after="0" w:line="240" w:lineRule="auto"/>
              <w:jc w:val="center"/>
              <w:rPr>
                <w:rFonts w:ascii="Arial" w:hAnsi="Arial" w:eastAsia="Times New Roman" w:cs="Arial"/>
              </w:rPr>
            </w:pPr>
          </w:p>
        </w:tc>
        <w:tc>
          <w:tcPr>
            <w:tcW w:w="1528" w:type="pct"/>
            <w:vAlign w:val="center"/>
          </w:tcPr>
          <w:p w14:paraId="5C1A55E2">
            <w:pPr>
              <w:spacing w:after="0" w:line="240" w:lineRule="auto"/>
              <w:jc w:val="center"/>
              <w:rPr>
                <w:rFonts w:ascii="Arial" w:hAnsi="Arial" w:eastAsia="Times New Roman" w:cs="Arial"/>
              </w:rPr>
            </w:pPr>
            <w:r>
              <w:rPr>
                <w:rFonts w:ascii="Arial" w:hAnsi="Arial" w:eastAsia="Times New Roman" w:cs="Arial"/>
                <w:b/>
                <w:bCs/>
              </w:rPr>
              <w:t>Experience in Relevant Field</w:t>
            </w:r>
          </w:p>
        </w:tc>
        <w:tc>
          <w:tcPr>
            <w:tcW w:w="2599" w:type="pct"/>
            <w:vAlign w:val="center"/>
          </w:tcPr>
          <w:p w14:paraId="1578EFF9">
            <w:pPr>
              <w:spacing w:after="0" w:line="240" w:lineRule="auto"/>
              <w:rPr>
                <w:rFonts w:ascii="Arial" w:hAnsi="Arial" w:eastAsia="Times New Roman" w:cs="Arial"/>
              </w:rPr>
            </w:pPr>
            <w:r>
              <w:rPr>
                <w:rFonts w:ascii="Arial" w:hAnsi="Arial" w:eastAsia="Times New Roman" w:cs="Arial"/>
              </w:rPr>
              <w:t>2 marks per year;</w:t>
            </w:r>
          </w:p>
          <w:p w14:paraId="4D364702">
            <w:pPr>
              <w:spacing w:after="0" w:line="240" w:lineRule="auto"/>
              <w:rPr>
                <w:rFonts w:ascii="Arial" w:hAnsi="Arial" w:eastAsia="Times New Roman" w:cs="Arial"/>
              </w:rPr>
            </w:pPr>
            <w:r>
              <w:rPr>
                <w:rFonts w:ascii="Arial" w:hAnsi="Arial" w:eastAsia="Times New Roman" w:cs="Arial"/>
              </w:rPr>
              <w:t>Minimum 5 years mandatory</w:t>
            </w:r>
          </w:p>
          <w:p w14:paraId="795D98A3">
            <w:pPr>
              <w:spacing w:after="0" w:line="240" w:lineRule="auto"/>
              <w:rPr>
                <w:rFonts w:ascii="Arial" w:hAnsi="Arial" w:eastAsia="Times New Roman" w:cs="Arial"/>
              </w:rPr>
            </w:pPr>
            <w:r>
              <w:rPr>
                <w:rFonts w:ascii="Arial" w:hAnsi="Arial" w:eastAsia="Times New Roman" w:cs="Arial"/>
              </w:rPr>
              <w:t>IATA Accreditation required.</w:t>
            </w:r>
          </w:p>
        </w:tc>
        <w:tc>
          <w:tcPr>
            <w:tcW w:w="438" w:type="pct"/>
            <w:vAlign w:val="center"/>
          </w:tcPr>
          <w:p w14:paraId="16B5A7BE">
            <w:pPr>
              <w:spacing w:after="0" w:line="240" w:lineRule="auto"/>
              <w:jc w:val="center"/>
              <w:rPr>
                <w:rFonts w:ascii="Arial" w:hAnsi="Arial" w:eastAsia="Times New Roman" w:cs="Arial"/>
              </w:rPr>
            </w:pPr>
            <w:r>
              <w:rPr>
                <w:rFonts w:ascii="Arial" w:hAnsi="Arial" w:eastAsia="Times New Roman" w:cs="Arial"/>
              </w:rPr>
              <w:t>10</w:t>
            </w:r>
          </w:p>
        </w:tc>
      </w:tr>
      <w:tr w14:paraId="26DD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21F4FF3D">
            <w:pPr>
              <w:pStyle w:val="4"/>
              <w:numPr>
                <w:ilvl w:val="0"/>
                <w:numId w:val="5"/>
              </w:numPr>
              <w:spacing w:after="0" w:line="240" w:lineRule="auto"/>
              <w:jc w:val="center"/>
              <w:rPr>
                <w:rFonts w:ascii="Arial" w:hAnsi="Arial" w:eastAsia="Times New Roman" w:cs="Arial"/>
              </w:rPr>
            </w:pPr>
          </w:p>
        </w:tc>
        <w:tc>
          <w:tcPr>
            <w:tcW w:w="1528" w:type="pct"/>
            <w:vAlign w:val="center"/>
          </w:tcPr>
          <w:p w14:paraId="4EF098C2">
            <w:pPr>
              <w:spacing w:after="0" w:line="240" w:lineRule="auto"/>
              <w:jc w:val="center"/>
              <w:rPr>
                <w:rFonts w:ascii="Arial" w:hAnsi="Arial" w:eastAsia="Times New Roman" w:cs="Arial"/>
              </w:rPr>
            </w:pPr>
            <w:r>
              <w:rPr>
                <w:rFonts w:ascii="Arial" w:hAnsi="Arial" w:eastAsia="Times New Roman" w:cs="Arial"/>
                <w:b/>
                <w:bCs/>
              </w:rPr>
              <w:t>Clientele Portfolio</w:t>
            </w:r>
          </w:p>
        </w:tc>
        <w:tc>
          <w:tcPr>
            <w:tcW w:w="2599" w:type="pct"/>
            <w:vAlign w:val="center"/>
          </w:tcPr>
          <w:p w14:paraId="6B967C70">
            <w:pPr>
              <w:spacing w:after="0" w:line="240" w:lineRule="auto"/>
              <w:rPr>
                <w:rFonts w:ascii="Arial" w:hAnsi="Arial" w:eastAsia="Times New Roman" w:cs="Arial"/>
              </w:rPr>
            </w:pPr>
            <w:r>
              <w:rPr>
                <w:rFonts w:ascii="Arial" w:hAnsi="Arial" w:eastAsia="Times New Roman" w:cs="Arial"/>
              </w:rPr>
              <w:t>1 mark per client;</w:t>
            </w:r>
          </w:p>
          <w:p w14:paraId="7F211CE5">
            <w:pPr>
              <w:spacing w:after="0" w:line="240" w:lineRule="auto"/>
              <w:rPr>
                <w:rFonts w:ascii="Arial" w:hAnsi="Arial" w:eastAsia="Times New Roman" w:cs="Arial"/>
              </w:rPr>
            </w:pPr>
            <w:r>
              <w:rPr>
                <w:rFonts w:ascii="Arial" w:hAnsi="Arial" w:eastAsia="Times New Roman" w:cs="Arial"/>
              </w:rPr>
              <w:t>Categorized as: Government Departments, Public Sector/Autonomous Bodies, Multinational Companies, Academic Institutions</w:t>
            </w:r>
          </w:p>
        </w:tc>
        <w:tc>
          <w:tcPr>
            <w:tcW w:w="438" w:type="pct"/>
            <w:vAlign w:val="center"/>
          </w:tcPr>
          <w:p w14:paraId="345E75E7">
            <w:pPr>
              <w:spacing w:after="0" w:line="240" w:lineRule="auto"/>
              <w:jc w:val="center"/>
              <w:rPr>
                <w:rFonts w:ascii="Arial" w:hAnsi="Arial" w:eastAsia="Times New Roman" w:cs="Arial"/>
              </w:rPr>
            </w:pPr>
            <w:r>
              <w:rPr>
                <w:rFonts w:ascii="Arial" w:hAnsi="Arial" w:eastAsia="Times New Roman" w:cs="Arial"/>
              </w:rPr>
              <w:t>10</w:t>
            </w:r>
          </w:p>
        </w:tc>
      </w:tr>
      <w:tr w14:paraId="3DC7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5431107A">
            <w:pPr>
              <w:pStyle w:val="4"/>
              <w:numPr>
                <w:ilvl w:val="0"/>
                <w:numId w:val="5"/>
              </w:numPr>
              <w:spacing w:after="0" w:line="240" w:lineRule="auto"/>
              <w:jc w:val="center"/>
              <w:rPr>
                <w:rFonts w:ascii="Arial" w:hAnsi="Arial" w:eastAsia="Times New Roman" w:cs="Arial"/>
              </w:rPr>
            </w:pPr>
          </w:p>
        </w:tc>
        <w:tc>
          <w:tcPr>
            <w:tcW w:w="1528" w:type="pct"/>
            <w:vAlign w:val="center"/>
          </w:tcPr>
          <w:p w14:paraId="7951F228">
            <w:pPr>
              <w:spacing w:after="0" w:line="240" w:lineRule="auto"/>
              <w:jc w:val="center"/>
              <w:rPr>
                <w:rFonts w:ascii="Arial" w:hAnsi="Arial" w:eastAsia="Times New Roman" w:cs="Arial"/>
              </w:rPr>
            </w:pPr>
            <w:r>
              <w:rPr>
                <w:rFonts w:ascii="Arial" w:hAnsi="Arial" w:eastAsia="Times New Roman" w:cs="Arial"/>
                <w:b/>
                <w:bCs/>
              </w:rPr>
              <w:t>Ticketing Services</w:t>
            </w:r>
          </w:p>
        </w:tc>
        <w:tc>
          <w:tcPr>
            <w:tcW w:w="2599" w:type="pct"/>
            <w:vAlign w:val="center"/>
          </w:tcPr>
          <w:p w14:paraId="432EFC2A">
            <w:pPr>
              <w:spacing w:after="0" w:line="240" w:lineRule="auto"/>
              <w:rPr>
                <w:rFonts w:ascii="Arial" w:hAnsi="Arial" w:eastAsia="Times New Roman" w:cs="Arial"/>
              </w:rPr>
            </w:pPr>
            <w:r>
              <w:rPr>
                <w:rFonts w:ascii="Arial" w:hAnsi="Arial" w:eastAsia="Times New Roman" w:cs="Arial"/>
              </w:rPr>
              <w:t>5 marks for E-Ticketing Facility</w:t>
            </w:r>
          </w:p>
          <w:p w14:paraId="57C3E091">
            <w:pPr>
              <w:spacing w:after="0" w:line="240" w:lineRule="auto"/>
              <w:rPr>
                <w:rFonts w:ascii="Arial" w:hAnsi="Arial" w:eastAsia="Times New Roman" w:cs="Arial"/>
              </w:rPr>
            </w:pPr>
            <w:r>
              <w:rPr>
                <w:rFonts w:ascii="Arial" w:hAnsi="Arial" w:eastAsia="Times New Roman" w:cs="Arial"/>
              </w:rPr>
              <w:t>5 marks for Visa Facilitation Services</w:t>
            </w:r>
          </w:p>
        </w:tc>
        <w:tc>
          <w:tcPr>
            <w:tcW w:w="438" w:type="pct"/>
            <w:vAlign w:val="center"/>
          </w:tcPr>
          <w:p w14:paraId="108AF438">
            <w:pPr>
              <w:spacing w:after="0" w:line="240" w:lineRule="auto"/>
              <w:jc w:val="center"/>
              <w:rPr>
                <w:rFonts w:ascii="Arial" w:hAnsi="Arial" w:eastAsia="Times New Roman" w:cs="Arial"/>
              </w:rPr>
            </w:pPr>
            <w:r>
              <w:rPr>
                <w:rFonts w:ascii="Arial" w:hAnsi="Arial" w:eastAsia="Times New Roman" w:cs="Arial"/>
              </w:rPr>
              <w:t>10</w:t>
            </w:r>
          </w:p>
        </w:tc>
      </w:tr>
      <w:tr w14:paraId="7C51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32D654F4">
            <w:pPr>
              <w:pStyle w:val="4"/>
              <w:numPr>
                <w:ilvl w:val="0"/>
                <w:numId w:val="5"/>
              </w:numPr>
              <w:spacing w:after="0" w:line="240" w:lineRule="auto"/>
              <w:jc w:val="center"/>
              <w:rPr>
                <w:rFonts w:ascii="Arial" w:hAnsi="Arial" w:eastAsia="Times New Roman" w:cs="Arial"/>
              </w:rPr>
            </w:pPr>
          </w:p>
        </w:tc>
        <w:tc>
          <w:tcPr>
            <w:tcW w:w="1528" w:type="pct"/>
            <w:vAlign w:val="center"/>
          </w:tcPr>
          <w:p w14:paraId="6385E15E">
            <w:pPr>
              <w:spacing w:after="0" w:line="240" w:lineRule="auto"/>
              <w:jc w:val="center"/>
              <w:rPr>
                <w:rFonts w:ascii="Arial" w:hAnsi="Arial" w:eastAsia="Times New Roman" w:cs="Arial"/>
              </w:rPr>
            </w:pPr>
            <w:r>
              <w:rPr>
                <w:rFonts w:ascii="Arial" w:hAnsi="Arial" w:eastAsia="Times New Roman" w:cs="Arial"/>
                <w:b/>
                <w:bCs/>
              </w:rPr>
              <w:t>Credit Limit Offered</w:t>
            </w:r>
          </w:p>
        </w:tc>
        <w:tc>
          <w:tcPr>
            <w:tcW w:w="2599" w:type="pct"/>
            <w:vAlign w:val="center"/>
          </w:tcPr>
          <w:p w14:paraId="24868156">
            <w:pPr>
              <w:spacing w:after="0" w:line="240" w:lineRule="auto"/>
              <w:rPr>
                <w:rFonts w:ascii="Arial" w:hAnsi="Arial" w:eastAsia="Times New Roman" w:cs="Arial"/>
              </w:rPr>
            </w:pPr>
            <w:r>
              <w:rPr>
                <w:rFonts w:ascii="Arial" w:hAnsi="Arial" w:eastAsia="Times New Roman" w:cs="Arial"/>
              </w:rPr>
              <w:t>Credit limit up to</w:t>
            </w:r>
          </w:p>
          <w:p w14:paraId="71E2D4B4">
            <w:pPr>
              <w:spacing w:after="0" w:line="240" w:lineRule="auto"/>
              <w:rPr>
                <w:rFonts w:ascii="Arial" w:hAnsi="Arial" w:eastAsia="Times New Roman" w:cs="Arial"/>
              </w:rPr>
            </w:pPr>
            <w:r>
              <w:rPr>
                <w:rFonts w:ascii="Arial" w:hAnsi="Arial" w:eastAsia="Times New Roman" w:cs="Arial"/>
              </w:rPr>
              <w:t>1 Million PKR = 3</w:t>
            </w:r>
          </w:p>
          <w:p w14:paraId="2E6578C4">
            <w:pPr>
              <w:spacing w:after="0" w:line="240" w:lineRule="auto"/>
              <w:rPr>
                <w:rFonts w:ascii="Arial" w:hAnsi="Arial" w:eastAsia="Times New Roman" w:cs="Arial"/>
              </w:rPr>
            </w:pPr>
            <w:r>
              <w:rPr>
                <w:rFonts w:ascii="Arial" w:hAnsi="Arial" w:eastAsia="Times New Roman" w:cs="Arial"/>
              </w:rPr>
              <w:t>1M to 2M = 5</w:t>
            </w:r>
          </w:p>
          <w:p w14:paraId="54F6C76D">
            <w:pPr>
              <w:spacing w:after="0" w:line="240" w:lineRule="auto"/>
              <w:rPr>
                <w:rFonts w:ascii="Arial" w:hAnsi="Arial" w:eastAsia="Times New Roman" w:cs="Arial"/>
              </w:rPr>
            </w:pPr>
            <w:r>
              <w:rPr>
                <w:rFonts w:ascii="Arial" w:hAnsi="Arial" w:eastAsia="Times New Roman" w:cs="Arial"/>
              </w:rPr>
              <w:t>2M  to 3M= 7</w:t>
            </w:r>
          </w:p>
          <w:p w14:paraId="2223ACFD">
            <w:pPr>
              <w:spacing w:after="0" w:line="240" w:lineRule="auto"/>
              <w:rPr>
                <w:rFonts w:ascii="Arial" w:hAnsi="Arial" w:eastAsia="Times New Roman" w:cs="Arial"/>
              </w:rPr>
            </w:pPr>
            <w:r>
              <w:rPr>
                <w:rFonts w:ascii="Arial" w:hAnsi="Arial" w:eastAsia="Times New Roman" w:cs="Arial"/>
              </w:rPr>
              <w:t>Above 3M = 10</w:t>
            </w:r>
          </w:p>
        </w:tc>
        <w:tc>
          <w:tcPr>
            <w:tcW w:w="438" w:type="pct"/>
            <w:vAlign w:val="center"/>
          </w:tcPr>
          <w:p w14:paraId="4DB03795">
            <w:pPr>
              <w:spacing w:after="0" w:line="240" w:lineRule="auto"/>
              <w:jc w:val="center"/>
              <w:rPr>
                <w:rFonts w:ascii="Arial" w:hAnsi="Arial" w:eastAsia="Times New Roman" w:cs="Arial"/>
              </w:rPr>
            </w:pPr>
            <w:r>
              <w:rPr>
                <w:rFonts w:ascii="Arial" w:hAnsi="Arial" w:eastAsia="Times New Roman" w:cs="Arial"/>
              </w:rPr>
              <w:t>10</w:t>
            </w:r>
          </w:p>
        </w:tc>
      </w:tr>
      <w:tr w14:paraId="3AEE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548EA10F">
            <w:pPr>
              <w:pStyle w:val="4"/>
              <w:numPr>
                <w:ilvl w:val="0"/>
                <w:numId w:val="5"/>
              </w:numPr>
              <w:spacing w:after="0" w:line="240" w:lineRule="auto"/>
              <w:jc w:val="center"/>
              <w:rPr>
                <w:rFonts w:ascii="Arial" w:hAnsi="Arial" w:eastAsia="Times New Roman" w:cs="Arial"/>
              </w:rPr>
            </w:pPr>
          </w:p>
        </w:tc>
        <w:tc>
          <w:tcPr>
            <w:tcW w:w="1528" w:type="pct"/>
            <w:vAlign w:val="center"/>
          </w:tcPr>
          <w:p w14:paraId="7EC5AEC9">
            <w:pPr>
              <w:spacing w:after="0" w:line="240" w:lineRule="auto"/>
              <w:jc w:val="center"/>
              <w:rPr>
                <w:rFonts w:ascii="Arial" w:hAnsi="Arial" w:eastAsia="Times New Roman" w:cs="Arial"/>
                <w:b/>
                <w:bCs/>
              </w:rPr>
            </w:pPr>
            <w:r>
              <w:rPr>
                <w:rFonts w:ascii="Arial" w:hAnsi="Arial" w:eastAsia="Times New Roman" w:cs="Arial"/>
                <w:b/>
                <w:bCs/>
              </w:rPr>
              <w:t>Credit Time Offered</w:t>
            </w:r>
          </w:p>
        </w:tc>
        <w:tc>
          <w:tcPr>
            <w:tcW w:w="2599" w:type="pct"/>
            <w:vAlign w:val="center"/>
          </w:tcPr>
          <w:p w14:paraId="177C2A1C">
            <w:pPr>
              <w:spacing w:after="0" w:line="240" w:lineRule="auto"/>
              <w:rPr>
                <w:rFonts w:ascii="Arial" w:hAnsi="Arial" w:eastAsia="Times New Roman" w:cs="Arial"/>
              </w:rPr>
            </w:pPr>
            <w:r>
              <w:rPr>
                <w:rFonts w:ascii="Arial" w:hAnsi="Arial" w:eastAsia="Times New Roman" w:cs="Arial"/>
              </w:rPr>
              <w:t>Credit period:</w:t>
            </w:r>
          </w:p>
          <w:p w14:paraId="501CF520">
            <w:pPr>
              <w:spacing w:after="0" w:line="240" w:lineRule="auto"/>
              <w:rPr>
                <w:rFonts w:ascii="Arial" w:hAnsi="Arial" w:eastAsia="Times New Roman" w:cs="Arial"/>
              </w:rPr>
            </w:pPr>
            <w:r>
              <w:rPr>
                <w:rFonts w:ascii="Arial" w:hAnsi="Arial" w:eastAsia="Times New Roman" w:cs="Arial"/>
              </w:rPr>
              <w:t>Up to 15 days = 3</w:t>
            </w:r>
          </w:p>
          <w:p w14:paraId="2A855CF6">
            <w:pPr>
              <w:spacing w:after="0" w:line="240" w:lineRule="auto"/>
              <w:rPr>
                <w:rFonts w:ascii="Arial" w:hAnsi="Arial" w:eastAsia="Times New Roman" w:cs="Arial"/>
              </w:rPr>
            </w:pPr>
            <w:r>
              <w:rPr>
                <w:rFonts w:ascii="Arial" w:hAnsi="Arial" w:eastAsia="Times New Roman" w:cs="Arial"/>
              </w:rPr>
              <w:t>15–30 days = 5</w:t>
            </w:r>
          </w:p>
          <w:p w14:paraId="359EBA7C">
            <w:pPr>
              <w:spacing w:after="0" w:line="240" w:lineRule="auto"/>
              <w:rPr>
                <w:rFonts w:ascii="Arial" w:hAnsi="Arial" w:eastAsia="Times New Roman" w:cs="Arial"/>
              </w:rPr>
            </w:pPr>
            <w:r>
              <w:rPr>
                <w:rFonts w:ascii="Arial" w:hAnsi="Arial" w:eastAsia="Times New Roman" w:cs="Arial"/>
              </w:rPr>
              <w:t>30-45 days = 7</w:t>
            </w:r>
          </w:p>
          <w:p w14:paraId="00CF5C45">
            <w:pPr>
              <w:spacing w:after="0" w:line="240" w:lineRule="auto"/>
              <w:rPr>
                <w:rFonts w:ascii="Arial" w:hAnsi="Arial" w:eastAsia="Times New Roman" w:cs="Arial"/>
              </w:rPr>
            </w:pPr>
            <w:r>
              <w:rPr>
                <w:rFonts w:ascii="Arial" w:hAnsi="Arial" w:eastAsia="Times New Roman" w:cs="Arial"/>
              </w:rPr>
              <w:t>Above 45 days = 10</w:t>
            </w:r>
          </w:p>
        </w:tc>
        <w:tc>
          <w:tcPr>
            <w:tcW w:w="438" w:type="pct"/>
            <w:vAlign w:val="center"/>
          </w:tcPr>
          <w:p w14:paraId="2E13714C">
            <w:pPr>
              <w:spacing w:after="0" w:line="240" w:lineRule="auto"/>
              <w:jc w:val="center"/>
              <w:rPr>
                <w:rFonts w:ascii="Arial" w:hAnsi="Arial" w:eastAsia="Times New Roman" w:cs="Arial"/>
              </w:rPr>
            </w:pPr>
            <w:r>
              <w:rPr>
                <w:rFonts w:ascii="Arial" w:hAnsi="Arial" w:eastAsia="Times New Roman" w:cs="Arial"/>
              </w:rPr>
              <w:t>10</w:t>
            </w:r>
          </w:p>
        </w:tc>
      </w:tr>
      <w:tr w14:paraId="2CBF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508C448A">
            <w:pPr>
              <w:pStyle w:val="4"/>
              <w:numPr>
                <w:ilvl w:val="0"/>
                <w:numId w:val="5"/>
              </w:numPr>
              <w:spacing w:after="0" w:line="240" w:lineRule="auto"/>
              <w:jc w:val="center"/>
              <w:rPr>
                <w:rFonts w:ascii="Arial" w:hAnsi="Arial" w:eastAsia="Times New Roman" w:cs="Arial"/>
              </w:rPr>
            </w:pPr>
          </w:p>
        </w:tc>
        <w:tc>
          <w:tcPr>
            <w:tcW w:w="1528" w:type="pct"/>
            <w:vAlign w:val="center"/>
          </w:tcPr>
          <w:p w14:paraId="302E5440">
            <w:pPr>
              <w:spacing w:after="0" w:line="240" w:lineRule="auto"/>
              <w:jc w:val="center"/>
              <w:rPr>
                <w:rFonts w:ascii="Arial" w:hAnsi="Arial" w:eastAsia="Times New Roman" w:cs="Arial"/>
              </w:rPr>
            </w:pPr>
            <w:r>
              <w:rPr>
                <w:rFonts w:ascii="Arial" w:hAnsi="Arial" w:eastAsia="Times New Roman" w:cs="Arial"/>
                <w:b/>
                <w:bCs/>
              </w:rPr>
              <w:t>Financial Standing / Annual Turnover</w:t>
            </w:r>
          </w:p>
        </w:tc>
        <w:tc>
          <w:tcPr>
            <w:tcW w:w="2599" w:type="pct"/>
            <w:vAlign w:val="center"/>
          </w:tcPr>
          <w:p w14:paraId="21656214">
            <w:pPr>
              <w:spacing w:after="0" w:line="240" w:lineRule="auto"/>
              <w:rPr>
                <w:rFonts w:ascii="Arial" w:hAnsi="Arial" w:eastAsia="Times New Roman" w:cs="Arial"/>
              </w:rPr>
            </w:pPr>
            <w:r>
              <w:rPr>
                <w:rFonts w:ascii="Arial" w:hAnsi="Arial" w:eastAsia="Times New Roman" w:cs="Arial"/>
              </w:rPr>
              <w:t>Above Rs. 30M = 10</w:t>
            </w:r>
          </w:p>
          <w:p w14:paraId="7035B88C">
            <w:pPr>
              <w:spacing w:after="0" w:line="240" w:lineRule="auto"/>
              <w:rPr>
                <w:rFonts w:ascii="Arial" w:hAnsi="Arial" w:eastAsia="Times New Roman" w:cs="Arial"/>
              </w:rPr>
            </w:pPr>
            <w:r>
              <w:rPr>
                <w:rFonts w:ascii="Arial" w:hAnsi="Arial" w:eastAsia="Times New Roman" w:cs="Arial"/>
              </w:rPr>
              <w:t>Rs. 15-30M = 7</w:t>
            </w:r>
          </w:p>
          <w:p w14:paraId="309EA93E">
            <w:pPr>
              <w:spacing w:after="0" w:line="240" w:lineRule="auto"/>
              <w:rPr>
                <w:rFonts w:ascii="Arial" w:hAnsi="Arial" w:eastAsia="Times New Roman" w:cs="Arial"/>
              </w:rPr>
            </w:pPr>
            <w:r>
              <w:rPr>
                <w:rFonts w:ascii="Arial" w:hAnsi="Arial" w:eastAsia="Times New Roman" w:cs="Arial"/>
              </w:rPr>
              <w:t>Rs. 5-15M = 5</w:t>
            </w:r>
          </w:p>
          <w:p w14:paraId="7C62E739">
            <w:pPr>
              <w:spacing w:after="0" w:line="240" w:lineRule="auto"/>
              <w:rPr>
                <w:rFonts w:ascii="Arial" w:hAnsi="Arial" w:eastAsia="Times New Roman" w:cs="Arial"/>
              </w:rPr>
            </w:pPr>
            <w:r>
              <w:rPr>
                <w:rFonts w:ascii="Arial" w:hAnsi="Arial" w:eastAsia="Times New Roman" w:cs="Arial"/>
              </w:rPr>
              <w:t>Below Rs. 5M = 3</w:t>
            </w:r>
          </w:p>
        </w:tc>
        <w:tc>
          <w:tcPr>
            <w:tcW w:w="438" w:type="pct"/>
            <w:vAlign w:val="center"/>
          </w:tcPr>
          <w:p w14:paraId="794D7CF3">
            <w:pPr>
              <w:spacing w:after="0" w:line="240" w:lineRule="auto"/>
              <w:jc w:val="center"/>
              <w:rPr>
                <w:rFonts w:ascii="Arial" w:hAnsi="Arial" w:eastAsia="Times New Roman" w:cs="Arial"/>
              </w:rPr>
            </w:pPr>
            <w:r>
              <w:rPr>
                <w:rFonts w:ascii="Arial" w:hAnsi="Arial" w:eastAsia="Times New Roman" w:cs="Arial"/>
              </w:rPr>
              <w:t>10</w:t>
            </w:r>
          </w:p>
        </w:tc>
      </w:tr>
      <w:tr w14:paraId="62E6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4767E77C">
            <w:pPr>
              <w:pStyle w:val="4"/>
              <w:numPr>
                <w:ilvl w:val="0"/>
                <w:numId w:val="5"/>
              </w:numPr>
              <w:spacing w:after="0" w:line="240" w:lineRule="auto"/>
              <w:jc w:val="center"/>
              <w:rPr>
                <w:rFonts w:ascii="Arial" w:hAnsi="Arial" w:eastAsia="Times New Roman" w:cs="Arial"/>
              </w:rPr>
            </w:pPr>
          </w:p>
        </w:tc>
        <w:tc>
          <w:tcPr>
            <w:tcW w:w="1528" w:type="pct"/>
            <w:vAlign w:val="center"/>
          </w:tcPr>
          <w:p w14:paraId="78284DF8">
            <w:pPr>
              <w:spacing w:after="0" w:line="240" w:lineRule="auto"/>
              <w:jc w:val="center"/>
              <w:rPr>
                <w:rFonts w:ascii="Arial" w:hAnsi="Arial" w:eastAsia="Times New Roman" w:cs="Arial"/>
              </w:rPr>
            </w:pPr>
            <w:r>
              <w:rPr>
                <w:rFonts w:ascii="Arial" w:hAnsi="Arial" w:eastAsia="Times New Roman" w:cs="Arial"/>
                <w:b/>
                <w:bCs/>
              </w:rPr>
              <w:t>International Travel Quote Efficiency</w:t>
            </w:r>
          </w:p>
        </w:tc>
        <w:tc>
          <w:tcPr>
            <w:tcW w:w="2599" w:type="pct"/>
            <w:vAlign w:val="center"/>
          </w:tcPr>
          <w:p w14:paraId="3D441FB3">
            <w:pPr>
              <w:spacing w:after="0" w:line="240" w:lineRule="auto"/>
              <w:rPr>
                <w:rFonts w:ascii="Arial" w:hAnsi="Arial" w:eastAsia="Times New Roman" w:cs="Arial"/>
              </w:rPr>
            </w:pPr>
            <w:r>
              <w:rPr>
                <w:rFonts w:ascii="Arial" w:hAnsi="Arial" w:eastAsia="Times New Roman" w:cs="Arial"/>
              </w:rPr>
              <w:t>Service charge % on ticket (lowest gets max marks)</w:t>
            </w:r>
          </w:p>
        </w:tc>
        <w:tc>
          <w:tcPr>
            <w:tcW w:w="438" w:type="pct"/>
            <w:vAlign w:val="center"/>
          </w:tcPr>
          <w:p w14:paraId="7980F290">
            <w:pPr>
              <w:spacing w:after="0" w:line="240" w:lineRule="auto"/>
              <w:jc w:val="center"/>
              <w:rPr>
                <w:rFonts w:ascii="Arial" w:hAnsi="Arial" w:eastAsia="Times New Roman" w:cs="Arial"/>
              </w:rPr>
            </w:pPr>
            <w:r>
              <w:rPr>
                <w:rFonts w:ascii="Arial" w:hAnsi="Arial" w:eastAsia="Times New Roman" w:cs="Arial"/>
              </w:rPr>
              <w:t>15</w:t>
            </w:r>
          </w:p>
        </w:tc>
      </w:tr>
      <w:tr w14:paraId="2ED1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3BB0AC65">
            <w:pPr>
              <w:pStyle w:val="4"/>
              <w:numPr>
                <w:ilvl w:val="0"/>
                <w:numId w:val="5"/>
              </w:numPr>
              <w:spacing w:after="0" w:line="240" w:lineRule="auto"/>
              <w:jc w:val="center"/>
              <w:rPr>
                <w:rFonts w:ascii="Arial" w:hAnsi="Arial" w:eastAsia="Times New Roman" w:cs="Arial"/>
              </w:rPr>
            </w:pPr>
          </w:p>
        </w:tc>
        <w:tc>
          <w:tcPr>
            <w:tcW w:w="1528" w:type="pct"/>
            <w:vAlign w:val="center"/>
          </w:tcPr>
          <w:p w14:paraId="03D261FB">
            <w:pPr>
              <w:spacing w:after="0" w:line="240" w:lineRule="auto"/>
              <w:jc w:val="center"/>
              <w:rPr>
                <w:rFonts w:ascii="Arial" w:hAnsi="Arial" w:eastAsia="Times New Roman" w:cs="Arial"/>
              </w:rPr>
            </w:pPr>
            <w:r>
              <w:rPr>
                <w:rFonts w:ascii="Arial" w:hAnsi="Arial" w:eastAsia="Times New Roman" w:cs="Arial"/>
                <w:b/>
                <w:bCs/>
              </w:rPr>
              <w:t>Domestic Travel Quote Efficiency</w:t>
            </w:r>
          </w:p>
        </w:tc>
        <w:tc>
          <w:tcPr>
            <w:tcW w:w="2599" w:type="pct"/>
            <w:vAlign w:val="center"/>
          </w:tcPr>
          <w:p w14:paraId="39059202">
            <w:pPr>
              <w:spacing w:after="0" w:line="240" w:lineRule="auto"/>
              <w:rPr>
                <w:rFonts w:ascii="Arial" w:hAnsi="Arial" w:eastAsia="Times New Roman" w:cs="Arial"/>
              </w:rPr>
            </w:pPr>
            <w:r>
              <w:rPr>
                <w:rFonts w:ascii="Arial" w:hAnsi="Arial" w:eastAsia="Times New Roman" w:cs="Arial"/>
              </w:rPr>
              <w:t>Service charge % on ticket (lowest gets max marks)</w:t>
            </w:r>
          </w:p>
        </w:tc>
        <w:tc>
          <w:tcPr>
            <w:tcW w:w="438" w:type="pct"/>
            <w:vAlign w:val="center"/>
          </w:tcPr>
          <w:p w14:paraId="25BF1691">
            <w:pPr>
              <w:spacing w:after="0" w:line="240" w:lineRule="auto"/>
              <w:jc w:val="center"/>
              <w:rPr>
                <w:rFonts w:ascii="Arial" w:hAnsi="Arial" w:eastAsia="Times New Roman" w:cs="Arial"/>
              </w:rPr>
            </w:pPr>
            <w:r>
              <w:rPr>
                <w:rFonts w:ascii="Arial" w:hAnsi="Arial" w:eastAsia="Times New Roman" w:cs="Arial"/>
              </w:rPr>
              <w:t>15</w:t>
            </w:r>
          </w:p>
        </w:tc>
      </w:tr>
      <w:tr w14:paraId="2529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vAlign w:val="center"/>
          </w:tcPr>
          <w:p w14:paraId="378A33AA">
            <w:pPr>
              <w:pStyle w:val="4"/>
              <w:numPr>
                <w:ilvl w:val="0"/>
                <w:numId w:val="5"/>
              </w:numPr>
              <w:spacing w:after="0" w:line="240" w:lineRule="auto"/>
              <w:jc w:val="center"/>
              <w:rPr>
                <w:rFonts w:ascii="Arial" w:hAnsi="Arial" w:eastAsia="Times New Roman" w:cs="Arial"/>
              </w:rPr>
            </w:pPr>
          </w:p>
        </w:tc>
        <w:tc>
          <w:tcPr>
            <w:tcW w:w="1528" w:type="pct"/>
            <w:vAlign w:val="center"/>
          </w:tcPr>
          <w:p w14:paraId="4BECC012">
            <w:pPr>
              <w:spacing w:after="0" w:line="240" w:lineRule="auto"/>
              <w:jc w:val="center"/>
              <w:rPr>
                <w:rFonts w:ascii="Arial" w:hAnsi="Arial" w:eastAsia="Times New Roman" w:cs="Arial"/>
              </w:rPr>
            </w:pPr>
            <w:r>
              <w:rPr>
                <w:rFonts w:ascii="Arial" w:hAnsi="Arial" w:eastAsia="Times New Roman" w:cs="Arial"/>
                <w:b/>
                <w:bCs/>
              </w:rPr>
              <w:t>Reputation &amp; Past Performance</w:t>
            </w:r>
          </w:p>
        </w:tc>
        <w:tc>
          <w:tcPr>
            <w:tcW w:w="2599" w:type="pct"/>
            <w:vAlign w:val="center"/>
          </w:tcPr>
          <w:p w14:paraId="54915F09">
            <w:pPr>
              <w:spacing w:after="0" w:line="240" w:lineRule="auto"/>
              <w:rPr>
                <w:rFonts w:ascii="Arial" w:hAnsi="Arial" w:eastAsia="Times New Roman" w:cs="Arial"/>
              </w:rPr>
            </w:pPr>
            <w:r>
              <w:rPr>
                <w:rFonts w:ascii="Arial" w:hAnsi="Arial" w:eastAsia="Times New Roman" w:cs="Arial"/>
              </w:rPr>
              <w:t>Submission of 3+ completion/reputation certificates from Govt. or reputable organizations; must show reliability, timely service, and complaint resolution</w:t>
            </w:r>
          </w:p>
        </w:tc>
        <w:tc>
          <w:tcPr>
            <w:tcW w:w="438" w:type="pct"/>
            <w:vAlign w:val="center"/>
          </w:tcPr>
          <w:p w14:paraId="67F7B6B5">
            <w:pPr>
              <w:spacing w:after="0" w:line="240" w:lineRule="auto"/>
              <w:jc w:val="center"/>
              <w:rPr>
                <w:rFonts w:ascii="Arial" w:hAnsi="Arial" w:eastAsia="Times New Roman" w:cs="Arial"/>
              </w:rPr>
            </w:pPr>
            <w:r>
              <w:rPr>
                <w:rFonts w:ascii="Arial" w:hAnsi="Arial" w:eastAsia="Times New Roman" w:cs="Arial"/>
              </w:rPr>
              <w:t>10</w:t>
            </w:r>
          </w:p>
        </w:tc>
      </w:tr>
    </w:tbl>
    <w:p w14:paraId="7A29148F">
      <w:pPr>
        <w:pStyle w:val="4"/>
        <w:spacing w:line="360" w:lineRule="auto"/>
        <w:ind w:left="0"/>
        <w:contextualSpacing w:val="0"/>
        <w:jc w:val="both"/>
        <w:rPr>
          <w:rFonts w:asciiTheme="minorBidi" w:hAnsiTheme="minorBidi"/>
          <w:b/>
          <w:bCs/>
        </w:rPr>
      </w:pPr>
    </w:p>
    <w:p w14:paraId="5E2C4F54">
      <w:pPr>
        <w:pStyle w:val="4"/>
        <w:spacing w:before="240" w:line="360" w:lineRule="auto"/>
        <w:ind w:left="0"/>
        <w:jc w:val="both"/>
        <w:rPr>
          <w:rFonts w:asciiTheme="minorBidi" w:hAnsiTheme="minorBidi"/>
          <w:b/>
          <w:bCs/>
          <w:sz w:val="24"/>
          <w:szCs w:val="24"/>
        </w:rPr>
      </w:pPr>
      <w:r>
        <w:rPr>
          <w:rFonts w:asciiTheme="minorBidi" w:hAnsiTheme="minorBidi"/>
          <w:sz w:val="24"/>
          <w:szCs w:val="24"/>
        </w:rPr>
        <w:t xml:space="preserve">Minimum passing marks for technical qualification: </w:t>
      </w:r>
      <w:r>
        <w:rPr>
          <w:rFonts w:asciiTheme="minorBidi" w:hAnsiTheme="minorBidi"/>
          <w:b/>
          <w:bCs/>
          <w:sz w:val="24"/>
          <w:szCs w:val="24"/>
        </w:rPr>
        <w:t>65/100</w:t>
      </w:r>
    </w:p>
    <w:p w14:paraId="69144AF0">
      <w:pPr>
        <w:pStyle w:val="4"/>
        <w:spacing w:line="360" w:lineRule="auto"/>
        <w:ind w:left="0"/>
        <w:contextualSpacing w:val="0"/>
        <w:jc w:val="both"/>
        <w:rPr>
          <w:rFonts w:asciiTheme="minorBidi" w:hAnsiTheme="minorBidi"/>
          <w:b/>
          <w:bCs/>
        </w:rPr>
      </w:pPr>
    </w:p>
    <w:p w14:paraId="587BFE54">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Bid Security/ Earnest Money:</w:t>
      </w:r>
    </w:p>
    <w:p w14:paraId="2D315D8D">
      <w:pPr>
        <w:pStyle w:val="4"/>
        <w:spacing w:line="360" w:lineRule="auto"/>
        <w:ind w:left="0"/>
        <w:contextualSpacing w:val="0"/>
        <w:jc w:val="both"/>
        <w:rPr>
          <w:rFonts w:ascii="Arial" w:hAnsi="Arial" w:cs="Arial"/>
          <w:b/>
          <w:bCs/>
        </w:rPr>
      </w:pPr>
      <w:r>
        <w:rPr>
          <w:rFonts w:ascii="Arial" w:hAnsi="Arial" w:eastAsia="Times New Roman" w:cs="Arial"/>
          <w:color w:val="000000"/>
          <w:sz w:val="24"/>
          <w:szCs w:val="24"/>
        </w:rPr>
        <w:t xml:space="preserve">The bidder shall furnish the earnest money in favor of </w:t>
      </w:r>
      <w:r>
        <w:rPr>
          <w:rFonts w:ascii="Arial" w:hAnsi="Arial" w:eastAsia="Times New Roman" w:cs="Arial"/>
          <w:b/>
          <w:bCs/>
          <w:color w:val="000000"/>
          <w:sz w:val="24"/>
          <w:szCs w:val="24"/>
        </w:rPr>
        <w:t>Institute of Space Technology, Islamabad</w:t>
      </w:r>
      <w:r>
        <w:rPr>
          <w:rFonts w:ascii="Arial" w:hAnsi="Arial" w:eastAsia="Times New Roman" w:cs="Arial"/>
          <w:color w:val="000000"/>
          <w:sz w:val="24"/>
          <w:szCs w:val="24"/>
        </w:rPr>
        <w:t xml:space="preserve">. Bidders applying for hiring of air travel services for the booking of domestic/ international flights to submit the bank draft as earnest money of amount RS. </w:t>
      </w:r>
      <w:r>
        <w:rPr>
          <w:rFonts w:ascii="Arial" w:hAnsi="Arial" w:eastAsia="Times New Roman" w:cs="Arial"/>
          <w:b/>
          <w:bCs/>
          <w:color w:val="000000"/>
          <w:sz w:val="24"/>
          <w:szCs w:val="24"/>
        </w:rPr>
        <w:t>50,000</w:t>
      </w:r>
      <w:r>
        <w:rPr>
          <w:rFonts w:ascii="Arial" w:hAnsi="Arial" w:eastAsia="Times New Roman" w:cs="Arial"/>
          <w:color w:val="000000"/>
          <w:sz w:val="24"/>
          <w:szCs w:val="24"/>
        </w:rPr>
        <w:t>.</w:t>
      </w:r>
    </w:p>
    <w:p w14:paraId="3D2C3987">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Terms and Conditions:</w:t>
      </w:r>
    </w:p>
    <w:p w14:paraId="7FD673D4">
      <w:pPr>
        <w:spacing w:line="360" w:lineRule="auto"/>
        <w:jc w:val="both"/>
        <w:rPr>
          <w:rFonts w:asciiTheme="minorBidi" w:hAnsiTheme="minorBidi"/>
          <w:sz w:val="24"/>
          <w:szCs w:val="24"/>
        </w:rPr>
      </w:pPr>
      <w:r>
        <w:rPr>
          <w:rFonts w:asciiTheme="minorBidi" w:hAnsiTheme="minorBidi"/>
          <w:sz w:val="24"/>
          <w:szCs w:val="24"/>
        </w:rPr>
        <w:t>The tenderers are required to fulfill the under mentioned conditions failing which the quotations will not be entertained:</w:t>
      </w:r>
    </w:p>
    <w:p w14:paraId="2489C907">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For this Pre-Qualification PPRA’s Rule 15 and 16 will be adopted.</w:t>
      </w:r>
    </w:p>
    <w:p w14:paraId="1F9FDFE9">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Financial bids will be called as and when required of only Pre-Qualified bidders/ firms by the relevant office at IST.</w:t>
      </w:r>
    </w:p>
    <w:p w14:paraId="127BB642">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The tenderers shall have to deposit earnest money in the form of Pay Order/Demand Draft in favour of Institute of Space Technology, Islamabad</w:t>
      </w:r>
    </w:p>
    <w:p w14:paraId="31D6B6E5">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The earnest money will remain with the IST till the completion of the contract period of required services. It shall be forfeited, if the firm fails to supply the required services within stipulated period and as per specifications mentioned in the tender documents.</w:t>
      </w:r>
    </w:p>
    <w:p w14:paraId="15333999">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Only registered suppliers, who are on Active Taxpayer List (ATL) of FBR, are eligible.</w:t>
      </w:r>
    </w:p>
    <w:p w14:paraId="405296AE">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The firms must have established office in Islamabad / Rawalpindi, which can be inspected by the Institute’s authorized officer (if deem necessary).</w:t>
      </w:r>
    </w:p>
    <w:p w14:paraId="2127D838">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Over writing and cutting of any nature in quotation(s) shall not be accepted and the quotation shall stand cancelled.</w:t>
      </w:r>
    </w:p>
    <w:p w14:paraId="2FA10A36">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The participating firm (s) shall have to provide a copy of their G.S.T &amp; NTN registration certificate.</w:t>
      </w:r>
    </w:p>
    <w:p w14:paraId="51FF33A6">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The vender shall give an undertaking that his firm has not been blacklisted by any of Provincial or Federal Government Departments, Agency, Organization or autonomous body etc. anywhere in Pakistan.</w:t>
      </w:r>
    </w:p>
    <w:p w14:paraId="112802C9">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The proposal validity period will be one hundred and twenty days (120) days, starting from the date of opening of the proposals.</w:t>
      </w:r>
    </w:p>
    <w:p w14:paraId="1B125FCE">
      <w:pPr>
        <w:pStyle w:val="4"/>
        <w:numPr>
          <w:ilvl w:val="0"/>
          <w:numId w:val="6"/>
        </w:numPr>
        <w:spacing w:line="360" w:lineRule="auto"/>
        <w:ind w:left="714" w:hanging="357"/>
        <w:contextualSpacing w:val="0"/>
        <w:jc w:val="both"/>
        <w:rPr>
          <w:rFonts w:asciiTheme="minorBidi" w:hAnsiTheme="minorBidi"/>
          <w:sz w:val="24"/>
          <w:szCs w:val="24"/>
        </w:rPr>
      </w:pPr>
      <w:r>
        <w:rPr>
          <w:rFonts w:asciiTheme="minorBidi" w:hAnsiTheme="minorBidi"/>
          <w:sz w:val="24"/>
          <w:szCs w:val="24"/>
        </w:rPr>
        <w:t>The Institute reserves the right to accept or reject any or all the quotations under rules.</w:t>
      </w:r>
    </w:p>
    <w:p w14:paraId="367CC2DD">
      <w:pPr>
        <w:pStyle w:val="4"/>
        <w:spacing w:line="360" w:lineRule="auto"/>
        <w:ind w:left="0"/>
        <w:contextualSpacing w:val="0"/>
        <w:jc w:val="both"/>
        <w:rPr>
          <w:rFonts w:asciiTheme="minorBidi" w:hAnsiTheme="minorBidi"/>
          <w:b/>
          <w:sz w:val="24"/>
          <w:szCs w:val="24"/>
        </w:rPr>
      </w:pPr>
      <w:r>
        <w:rPr>
          <w:rFonts w:asciiTheme="minorBidi" w:hAnsiTheme="minorBidi"/>
          <w:b/>
          <w:sz w:val="24"/>
          <w:szCs w:val="24"/>
        </w:rPr>
        <w:t>Checklist for Technical Proposal Submission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617"/>
        <w:gridCol w:w="1586"/>
      </w:tblGrid>
      <w:tr w14:paraId="7AC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40F0351">
            <w:pPr>
              <w:spacing w:after="0" w:line="240" w:lineRule="auto"/>
              <w:jc w:val="center"/>
              <w:rPr>
                <w:rFonts w:ascii="Arial" w:hAnsi="Arial" w:eastAsia="Times New Roman" w:cs="Arial"/>
                <w:b/>
                <w:bCs/>
              </w:rPr>
            </w:pPr>
            <w:r>
              <w:rPr>
                <w:rFonts w:ascii="Arial" w:hAnsi="Arial" w:eastAsia="Times New Roman" w:cs="Arial"/>
                <w:b/>
                <w:bCs/>
              </w:rPr>
              <w:t>S. No.</w:t>
            </w:r>
          </w:p>
        </w:tc>
        <w:tc>
          <w:tcPr>
            <w:tcW w:w="0" w:type="auto"/>
            <w:vAlign w:val="center"/>
          </w:tcPr>
          <w:p w14:paraId="4EFEDE51">
            <w:pPr>
              <w:spacing w:after="0" w:line="240" w:lineRule="auto"/>
              <w:rPr>
                <w:rFonts w:ascii="Arial" w:hAnsi="Arial" w:eastAsia="Times New Roman" w:cs="Arial"/>
                <w:b/>
                <w:bCs/>
              </w:rPr>
            </w:pPr>
            <w:r>
              <w:rPr>
                <w:rFonts w:ascii="Arial" w:hAnsi="Arial" w:eastAsia="Times New Roman" w:cs="Arial"/>
                <w:b/>
                <w:bCs/>
              </w:rPr>
              <w:t>Document Description</w:t>
            </w:r>
          </w:p>
        </w:tc>
        <w:tc>
          <w:tcPr>
            <w:tcW w:w="0" w:type="auto"/>
            <w:vAlign w:val="center"/>
          </w:tcPr>
          <w:p w14:paraId="22A3A37E">
            <w:pPr>
              <w:spacing w:after="0" w:line="240" w:lineRule="auto"/>
              <w:jc w:val="center"/>
              <w:rPr>
                <w:rFonts w:ascii="Arial" w:hAnsi="Arial" w:eastAsia="Times New Roman" w:cs="Arial"/>
                <w:b/>
                <w:bCs/>
              </w:rPr>
            </w:pPr>
            <w:r>
              <w:rPr>
                <w:rFonts w:ascii="Arial" w:hAnsi="Arial" w:eastAsia="Times New Roman" w:cs="Arial"/>
                <w:b/>
                <w:bCs/>
              </w:rPr>
              <w:t>Attached (</w:t>
            </w:r>
            <w:r>
              <w:rPr>
                <w:rFonts w:ascii="Segoe UI Symbol" w:hAnsi="Segoe UI Symbol" w:eastAsia="Times New Roman" w:cs="Segoe UI Symbol"/>
                <w:b/>
                <w:bCs/>
              </w:rPr>
              <w:t>✓</w:t>
            </w:r>
            <w:r>
              <w:rPr>
                <w:rFonts w:ascii="Arial" w:hAnsi="Arial" w:eastAsia="Times New Roman" w:cs="Arial"/>
                <w:b/>
                <w:bCs/>
              </w:rPr>
              <w:t>/</w:t>
            </w:r>
            <w:r>
              <w:rPr>
                <w:rFonts w:ascii="Segoe UI Symbol" w:hAnsi="Segoe UI Symbol" w:eastAsia="Times New Roman" w:cs="Segoe UI Symbol"/>
                <w:b/>
                <w:bCs/>
              </w:rPr>
              <w:t>✗</w:t>
            </w:r>
            <w:r>
              <w:rPr>
                <w:rFonts w:ascii="Arial" w:hAnsi="Arial" w:eastAsia="Times New Roman" w:cs="Arial"/>
                <w:b/>
                <w:bCs/>
              </w:rPr>
              <w:t>)</w:t>
            </w:r>
          </w:p>
        </w:tc>
      </w:tr>
      <w:tr w14:paraId="302A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46682EF0">
            <w:pPr>
              <w:spacing w:after="0" w:line="240" w:lineRule="auto"/>
              <w:jc w:val="center"/>
              <w:rPr>
                <w:rFonts w:ascii="Arial" w:hAnsi="Arial" w:eastAsia="Times New Roman" w:cs="Arial"/>
              </w:rPr>
            </w:pPr>
            <w:r>
              <w:rPr>
                <w:rFonts w:ascii="Arial" w:hAnsi="Arial" w:eastAsia="Times New Roman" w:cs="Arial"/>
              </w:rPr>
              <w:t>1.</w:t>
            </w:r>
          </w:p>
        </w:tc>
        <w:tc>
          <w:tcPr>
            <w:tcW w:w="0" w:type="auto"/>
            <w:vAlign w:val="center"/>
          </w:tcPr>
          <w:p w14:paraId="25DD7C8A">
            <w:pPr>
              <w:spacing w:after="0" w:line="240" w:lineRule="auto"/>
              <w:rPr>
                <w:rFonts w:ascii="Arial" w:hAnsi="Arial" w:eastAsia="Times New Roman" w:cs="Arial"/>
              </w:rPr>
            </w:pPr>
            <w:r>
              <w:rPr>
                <w:rFonts w:ascii="Arial" w:hAnsi="Arial" w:eastAsia="Times New Roman" w:cs="Arial"/>
                <w:b/>
                <w:bCs/>
              </w:rPr>
              <w:t>Covering Letter</w:t>
            </w:r>
            <w:r>
              <w:rPr>
                <w:rFonts w:ascii="Arial" w:hAnsi="Arial" w:eastAsia="Times New Roman" w:cs="Arial"/>
              </w:rPr>
              <w:t xml:space="preserve"> on company letterhead expressing interest and confirming compliance with TORs</w:t>
            </w:r>
          </w:p>
        </w:tc>
        <w:tc>
          <w:tcPr>
            <w:tcW w:w="0" w:type="auto"/>
            <w:vAlign w:val="center"/>
          </w:tcPr>
          <w:p w14:paraId="3CFF7B52">
            <w:pPr>
              <w:spacing w:after="0" w:line="240" w:lineRule="auto"/>
              <w:jc w:val="center"/>
              <w:rPr>
                <w:rFonts w:ascii="Arial" w:hAnsi="Arial" w:eastAsia="Times New Roman" w:cs="Arial"/>
              </w:rPr>
            </w:pPr>
          </w:p>
        </w:tc>
      </w:tr>
      <w:tr w14:paraId="4777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76077A59">
            <w:pPr>
              <w:spacing w:after="0" w:line="240" w:lineRule="auto"/>
              <w:jc w:val="center"/>
              <w:rPr>
                <w:rFonts w:ascii="Arial" w:hAnsi="Arial" w:eastAsia="Times New Roman" w:cs="Arial"/>
              </w:rPr>
            </w:pPr>
            <w:r>
              <w:rPr>
                <w:rFonts w:ascii="Arial" w:hAnsi="Arial" w:eastAsia="Times New Roman" w:cs="Arial"/>
              </w:rPr>
              <w:t>2.</w:t>
            </w:r>
          </w:p>
        </w:tc>
        <w:tc>
          <w:tcPr>
            <w:tcW w:w="0" w:type="auto"/>
            <w:vAlign w:val="center"/>
          </w:tcPr>
          <w:p w14:paraId="17ED94C2">
            <w:pPr>
              <w:spacing w:after="0" w:line="240" w:lineRule="auto"/>
              <w:rPr>
                <w:rFonts w:ascii="Arial" w:hAnsi="Arial" w:eastAsia="Times New Roman" w:cs="Arial"/>
              </w:rPr>
            </w:pPr>
            <w:r>
              <w:rPr>
                <w:rFonts w:ascii="Arial" w:hAnsi="Arial" w:eastAsia="Times New Roman" w:cs="Arial"/>
              </w:rPr>
              <w:t xml:space="preserve">Copy of </w:t>
            </w:r>
            <w:r>
              <w:rPr>
                <w:rFonts w:ascii="Arial" w:hAnsi="Arial" w:eastAsia="Times New Roman" w:cs="Arial"/>
                <w:b/>
                <w:bCs/>
              </w:rPr>
              <w:t>valid IATA accreditation certificate</w:t>
            </w:r>
          </w:p>
        </w:tc>
        <w:tc>
          <w:tcPr>
            <w:tcW w:w="0" w:type="auto"/>
            <w:vAlign w:val="center"/>
          </w:tcPr>
          <w:p w14:paraId="107083A9">
            <w:pPr>
              <w:spacing w:after="0" w:line="240" w:lineRule="auto"/>
              <w:jc w:val="center"/>
              <w:rPr>
                <w:rFonts w:ascii="Arial" w:hAnsi="Arial" w:eastAsia="Times New Roman" w:cs="Arial"/>
              </w:rPr>
            </w:pPr>
          </w:p>
        </w:tc>
      </w:tr>
      <w:tr w14:paraId="3124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5FB42A3">
            <w:pPr>
              <w:spacing w:after="0" w:line="240" w:lineRule="auto"/>
              <w:jc w:val="center"/>
              <w:rPr>
                <w:rFonts w:ascii="Arial" w:hAnsi="Arial" w:eastAsia="Times New Roman" w:cs="Arial"/>
              </w:rPr>
            </w:pPr>
            <w:r>
              <w:rPr>
                <w:rFonts w:ascii="Arial" w:hAnsi="Arial" w:eastAsia="Times New Roman" w:cs="Arial"/>
              </w:rPr>
              <w:t>3.</w:t>
            </w:r>
          </w:p>
        </w:tc>
        <w:tc>
          <w:tcPr>
            <w:tcW w:w="0" w:type="auto"/>
            <w:vAlign w:val="center"/>
          </w:tcPr>
          <w:p w14:paraId="23383C56">
            <w:pPr>
              <w:spacing w:after="0" w:line="240" w:lineRule="auto"/>
              <w:rPr>
                <w:rFonts w:ascii="Arial" w:hAnsi="Arial" w:eastAsia="Times New Roman" w:cs="Arial"/>
              </w:rPr>
            </w:pPr>
            <w:r>
              <w:rPr>
                <w:rFonts w:ascii="Arial" w:hAnsi="Arial" w:eastAsia="Times New Roman" w:cs="Arial"/>
              </w:rPr>
              <w:t xml:space="preserve">Copy of </w:t>
            </w:r>
            <w:r>
              <w:rPr>
                <w:rFonts w:ascii="Arial" w:hAnsi="Arial" w:eastAsia="Times New Roman" w:cs="Arial"/>
                <w:b/>
                <w:bCs/>
              </w:rPr>
              <w:t>NTN and GST registration certificates</w:t>
            </w:r>
          </w:p>
        </w:tc>
        <w:tc>
          <w:tcPr>
            <w:tcW w:w="0" w:type="auto"/>
            <w:vAlign w:val="center"/>
          </w:tcPr>
          <w:p w14:paraId="3F6F6FE8">
            <w:pPr>
              <w:spacing w:after="0" w:line="240" w:lineRule="auto"/>
              <w:jc w:val="center"/>
              <w:rPr>
                <w:rFonts w:ascii="Arial" w:hAnsi="Arial" w:eastAsia="Times New Roman" w:cs="Arial"/>
              </w:rPr>
            </w:pPr>
          </w:p>
        </w:tc>
      </w:tr>
      <w:tr w14:paraId="7B57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FDBB419">
            <w:pPr>
              <w:spacing w:after="0" w:line="240" w:lineRule="auto"/>
              <w:jc w:val="center"/>
              <w:rPr>
                <w:rFonts w:ascii="Arial" w:hAnsi="Arial" w:eastAsia="Times New Roman" w:cs="Arial"/>
              </w:rPr>
            </w:pPr>
            <w:r>
              <w:rPr>
                <w:rFonts w:ascii="Arial" w:hAnsi="Arial" w:eastAsia="Times New Roman" w:cs="Arial"/>
              </w:rPr>
              <w:t>4.</w:t>
            </w:r>
          </w:p>
        </w:tc>
        <w:tc>
          <w:tcPr>
            <w:tcW w:w="0" w:type="auto"/>
            <w:vAlign w:val="center"/>
          </w:tcPr>
          <w:p w14:paraId="5A990CE1">
            <w:pPr>
              <w:spacing w:after="0" w:line="240" w:lineRule="auto"/>
              <w:rPr>
                <w:rFonts w:ascii="Arial" w:hAnsi="Arial" w:eastAsia="Times New Roman" w:cs="Arial"/>
              </w:rPr>
            </w:pPr>
            <w:r>
              <w:rPr>
                <w:rFonts w:ascii="Arial" w:hAnsi="Arial" w:eastAsia="Times New Roman" w:cs="Arial"/>
              </w:rPr>
              <w:t xml:space="preserve">Copy of </w:t>
            </w:r>
            <w:r>
              <w:rPr>
                <w:rFonts w:ascii="Arial" w:hAnsi="Arial" w:eastAsia="Times New Roman" w:cs="Arial"/>
                <w:b/>
                <w:bCs/>
              </w:rPr>
              <w:t>FBR Active Taxpayer Status (ATL)</w:t>
            </w:r>
            <w:r>
              <w:rPr>
                <w:rFonts w:ascii="Arial" w:hAnsi="Arial" w:eastAsia="Times New Roman" w:cs="Arial"/>
              </w:rPr>
              <w:t xml:space="preserve"> printout</w:t>
            </w:r>
          </w:p>
        </w:tc>
        <w:tc>
          <w:tcPr>
            <w:tcW w:w="0" w:type="auto"/>
            <w:vAlign w:val="center"/>
          </w:tcPr>
          <w:p w14:paraId="3C8FFFDC">
            <w:pPr>
              <w:spacing w:after="0" w:line="240" w:lineRule="auto"/>
              <w:jc w:val="center"/>
              <w:rPr>
                <w:rFonts w:ascii="Arial" w:hAnsi="Arial" w:eastAsia="Times New Roman" w:cs="Arial"/>
              </w:rPr>
            </w:pPr>
          </w:p>
        </w:tc>
      </w:tr>
      <w:tr w14:paraId="1F69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5C54766">
            <w:pPr>
              <w:spacing w:after="0" w:line="240" w:lineRule="auto"/>
              <w:jc w:val="center"/>
              <w:rPr>
                <w:rFonts w:ascii="Arial" w:hAnsi="Arial" w:eastAsia="Times New Roman" w:cs="Arial"/>
              </w:rPr>
            </w:pPr>
            <w:r>
              <w:rPr>
                <w:rFonts w:ascii="Arial" w:hAnsi="Arial" w:eastAsia="Times New Roman" w:cs="Arial"/>
              </w:rPr>
              <w:t>5.</w:t>
            </w:r>
          </w:p>
        </w:tc>
        <w:tc>
          <w:tcPr>
            <w:tcW w:w="0" w:type="auto"/>
            <w:vAlign w:val="center"/>
          </w:tcPr>
          <w:p w14:paraId="5C50F10A">
            <w:pPr>
              <w:spacing w:after="0" w:line="240" w:lineRule="auto"/>
              <w:rPr>
                <w:rFonts w:ascii="Arial" w:hAnsi="Arial" w:eastAsia="Times New Roman" w:cs="Arial"/>
              </w:rPr>
            </w:pPr>
            <w:r>
              <w:rPr>
                <w:rFonts w:ascii="Arial" w:hAnsi="Arial" w:eastAsia="Times New Roman" w:cs="Arial"/>
              </w:rPr>
              <w:t xml:space="preserve">Copy of </w:t>
            </w:r>
            <w:r>
              <w:rPr>
                <w:rFonts w:ascii="Arial" w:hAnsi="Arial" w:eastAsia="Times New Roman" w:cs="Arial"/>
                <w:b/>
                <w:bCs/>
              </w:rPr>
              <w:t>CNIC of authorized signatory</w:t>
            </w:r>
          </w:p>
        </w:tc>
        <w:tc>
          <w:tcPr>
            <w:tcW w:w="0" w:type="auto"/>
            <w:vAlign w:val="center"/>
          </w:tcPr>
          <w:p w14:paraId="283BF66F">
            <w:pPr>
              <w:spacing w:after="0" w:line="240" w:lineRule="auto"/>
              <w:jc w:val="center"/>
              <w:rPr>
                <w:rFonts w:ascii="Arial" w:hAnsi="Arial" w:eastAsia="Times New Roman" w:cs="Arial"/>
              </w:rPr>
            </w:pPr>
          </w:p>
        </w:tc>
      </w:tr>
      <w:tr w14:paraId="366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7E0F197">
            <w:pPr>
              <w:spacing w:after="0" w:line="240" w:lineRule="auto"/>
              <w:jc w:val="center"/>
              <w:rPr>
                <w:rFonts w:ascii="Arial" w:hAnsi="Arial" w:eastAsia="Times New Roman" w:cs="Arial"/>
              </w:rPr>
            </w:pPr>
            <w:r>
              <w:rPr>
                <w:rFonts w:ascii="Arial" w:hAnsi="Arial" w:eastAsia="Times New Roman" w:cs="Arial"/>
              </w:rPr>
              <w:t>6.</w:t>
            </w:r>
          </w:p>
        </w:tc>
        <w:tc>
          <w:tcPr>
            <w:tcW w:w="0" w:type="auto"/>
            <w:vAlign w:val="center"/>
          </w:tcPr>
          <w:p w14:paraId="4BA0FF27">
            <w:pPr>
              <w:spacing w:after="0" w:line="240" w:lineRule="auto"/>
              <w:rPr>
                <w:rFonts w:ascii="Arial" w:hAnsi="Arial" w:eastAsia="Times New Roman" w:cs="Arial"/>
              </w:rPr>
            </w:pPr>
            <w:r>
              <w:rPr>
                <w:rFonts w:ascii="Arial" w:hAnsi="Arial" w:eastAsia="Times New Roman" w:cs="Arial"/>
              </w:rPr>
              <w:t xml:space="preserve">Proof of </w:t>
            </w:r>
            <w:r>
              <w:rPr>
                <w:rFonts w:ascii="Arial" w:hAnsi="Arial" w:eastAsia="Times New Roman" w:cs="Arial"/>
                <w:b/>
                <w:bCs/>
              </w:rPr>
              <w:t>Office Address in Islamabad/Rawalpindi</w:t>
            </w:r>
          </w:p>
        </w:tc>
        <w:tc>
          <w:tcPr>
            <w:tcW w:w="0" w:type="auto"/>
            <w:vAlign w:val="center"/>
          </w:tcPr>
          <w:p w14:paraId="7A695813">
            <w:pPr>
              <w:spacing w:after="0" w:line="240" w:lineRule="auto"/>
              <w:jc w:val="center"/>
              <w:rPr>
                <w:rFonts w:ascii="Arial" w:hAnsi="Arial" w:eastAsia="Times New Roman" w:cs="Arial"/>
              </w:rPr>
            </w:pPr>
          </w:p>
        </w:tc>
      </w:tr>
      <w:tr w14:paraId="7056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60FBB09">
            <w:pPr>
              <w:spacing w:after="0" w:line="240" w:lineRule="auto"/>
              <w:jc w:val="center"/>
              <w:rPr>
                <w:rFonts w:ascii="Arial" w:hAnsi="Arial" w:eastAsia="Times New Roman" w:cs="Arial"/>
              </w:rPr>
            </w:pPr>
            <w:r>
              <w:rPr>
                <w:rFonts w:ascii="Arial" w:hAnsi="Arial" w:eastAsia="Times New Roman" w:cs="Arial"/>
              </w:rPr>
              <w:t>7.</w:t>
            </w:r>
          </w:p>
        </w:tc>
        <w:tc>
          <w:tcPr>
            <w:tcW w:w="0" w:type="auto"/>
            <w:vAlign w:val="center"/>
          </w:tcPr>
          <w:p w14:paraId="34872CD3">
            <w:pPr>
              <w:spacing w:after="0" w:line="240" w:lineRule="auto"/>
              <w:rPr>
                <w:rFonts w:ascii="Arial" w:hAnsi="Arial" w:eastAsia="Times New Roman" w:cs="Arial"/>
              </w:rPr>
            </w:pPr>
            <w:r>
              <w:rPr>
                <w:rFonts w:ascii="Arial" w:hAnsi="Arial" w:eastAsia="Times New Roman" w:cs="Arial"/>
              </w:rPr>
              <w:t>Company Profile</w:t>
            </w:r>
          </w:p>
        </w:tc>
        <w:tc>
          <w:tcPr>
            <w:tcW w:w="0" w:type="auto"/>
            <w:vAlign w:val="center"/>
          </w:tcPr>
          <w:p w14:paraId="40CF6B5A">
            <w:pPr>
              <w:spacing w:after="0" w:line="240" w:lineRule="auto"/>
              <w:jc w:val="center"/>
              <w:rPr>
                <w:rFonts w:ascii="Arial" w:hAnsi="Arial" w:eastAsia="Times New Roman" w:cs="Arial"/>
              </w:rPr>
            </w:pPr>
          </w:p>
        </w:tc>
      </w:tr>
      <w:tr w14:paraId="5025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42B9325">
            <w:pPr>
              <w:spacing w:after="0" w:line="240" w:lineRule="auto"/>
              <w:jc w:val="center"/>
              <w:rPr>
                <w:rFonts w:ascii="Arial" w:hAnsi="Arial" w:eastAsia="Times New Roman" w:cs="Arial"/>
              </w:rPr>
            </w:pPr>
            <w:r>
              <w:rPr>
                <w:rFonts w:ascii="Arial" w:hAnsi="Arial" w:eastAsia="Times New Roman" w:cs="Arial"/>
              </w:rPr>
              <w:t>8.</w:t>
            </w:r>
          </w:p>
        </w:tc>
        <w:tc>
          <w:tcPr>
            <w:tcW w:w="0" w:type="auto"/>
            <w:vAlign w:val="center"/>
          </w:tcPr>
          <w:p w14:paraId="06B8B967">
            <w:pPr>
              <w:spacing w:after="0" w:line="240" w:lineRule="auto"/>
              <w:rPr>
                <w:rFonts w:ascii="Arial" w:hAnsi="Arial" w:eastAsia="Times New Roman" w:cs="Arial"/>
              </w:rPr>
            </w:pPr>
            <w:r>
              <w:rPr>
                <w:rFonts w:ascii="Arial" w:hAnsi="Arial" w:eastAsia="Times New Roman" w:cs="Arial"/>
                <w:b/>
                <w:bCs/>
              </w:rPr>
              <w:t>List of Clients</w:t>
            </w:r>
            <w:r>
              <w:rPr>
                <w:rFonts w:ascii="Arial" w:hAnsi="Arial" w:eastAsia="Times New Roman" w:cs="Arial"/>
              </w:rPr>
              <w:t xml:space="preserve"> (Govt., MNCs, Academic Institutions, etc.) with supporting documents</w:t>
            </w:r>
          </w:p>
        </w:tc>
        <w:tc>
          <w:tcPr>
            <w:tcW w:w="0" w:type="auto"/>
            <w:vAlign w:val="center"/>
          </w:tcPr>
          <w:p w14:paraId="77AD586A">
            <w:pPr>
              <w:spacing w:after="0" w:line="240" w:lineRule="auto"/>
              <w:jc w:val="center"/>
              <w:rPr>
                <w:rFonts w:ascii="Arial" w:hAnsi="Arial" w:eastAsia="Times New Roman" w:cs="Arial"/>
              </w:rPr>
            </w:pPr>
          </w:p>
        </w:tc>
      </w:tr>
      <w:tr w14:paraId="5620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79A85FC">
            <w:pPr>
              <w:spacing w:after="0" w:line="240" w:lineRule="auto"/>
              <w:jc w:val="center"/>
              <w:rPr>
                <w:rFonts w:ascii="Arial" w:hAnsi="Arial" w:eastAsia="Times New Roman" w:cs="Arial"/>
              </w:rPr>
            </w:pPr>
            <w:r>
              <w:rPr>
                <w:rFonts w:ascii="Arial" w:hAnsi="Arial" w:eastAsia="Times New Roman" w:cs="Arial"/>
              </w:rPr>
              <w:t>9.</w:t>
            </w:r>
          </w:p>
        </w:tc>
        <w:tc>
          <w:tcPr>
            <w:tcW w:w="0" w:type="auto"/>
            <w:vAlign w:val="center"/>
          </w:tcPr>
          <w:p w14:paraId="5E12EC5C">
            <w:pPr>
              <w:spacing w:after="0" w:line="240" w:lineRule="auto"/>
              <w:rPr>
                <w:rFonts w:ascii="Arial" w:hAnsi="Arial" w:eastAsia="Times New Roman" w:cs="Arial"/>
              </w:rPr>
            </w:pPr>
            <w:r>
              <w:rPr>
                <w:rFonts w:ascii="Arial" w:hAnsi="Arial" w:eastAsia="Times New Roman" w:cs="Arial"/>
                <w:b/>
                <w:bCs/>
              </w:rPr>
              <w:t>Work Experience Certificate(s)</w:t>
            </w:r>
            <w:r>
              <w:rPr>
                <w:rFonts w:ascii="Arial" w:hAnsi="Arial" w:eastAsia="Times New Roman" w:cs="Arial"/>
              </w:rPr>
              <w:t xml:space="preserve"> – At least 5 years experience with supporting evidence</w:t>
            </w:r>
          </w:p>
        </w:tc>
        <w:tc>
          <w:tcPr>
            <w:tcW w:w="0" w:type="auto"/>
            <w:vAlign w:val="center"/>
          </w:tcPr>
          <w:p w14:paraId="17028122">
            <w:pPr>
              <w:spacing w:after="0" w:line="240" w:lineRule="auto"/>
              <w:jc w:val="center"/>
              <w:rPr>
                <w:rFonts w:ascii="Arial" w:hAnsi="Arial" w:eastAsia="Times New Roman" w:cs="Arial"/>
              </w:rPr>
            </w:pPr>
          </w:p>
        </w:tc>
      </w:tr>
      <w:tr w14:paraId="7F9B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D55C60F">
            <w:pPr>
              <w:spacing w:after="0" w:line="240" w:lineRule="auto"/>
              <w:jc w:val="center"/>
              <w:rPr>
                <w:rFonts w:ascii="Arial" w:hAnsi="Arial" w:eastAsia="Times New Roman" w:cs="Arial"/>
              </w:rPr>
            </w:pPr>
            <w:r>
              <w:rPr>
                <w:rFonts w:ascii="Arial" w:hAnsi="Arial" w:eastAsia="Times New Roman" w:cs="Arial"/>
              </w:rPr>
              <w:t>10.</w:t>
            </w:r>
          </w:p>
        </w:tc>
        <w:tc>
          <w:tcPr>
            <w:tcW w:w="0" w:type="auto"/>
            <w:vAlign w:val="center"/>
          </w:tcPr>
          <w:p w14:paraId="1E9C0B90">
            <w:pPr>
              <w:spacing w:after="0" w:line="240" w:lineRule="auto"/>
              <w:rPr>
                <w:rFonts w:ascii="Arial" w:hAnsi="Arial" w:eastAsia="Times New Roman" w:cs="Arial"/>
              </w:rPr>
            </w:pPr>
            <w:r>
              <w:rPr>
                <w:rFonts w:ascii="Arial" w:hAnsi="Arial" w:eastAsia="Times New Roman" w:cs="Arial"/>
                <w:b/>
                <w:bCs/>
              </w:rPr>
              <w:t>At least 3 reputation/completion certificates</w:t>
            </w:r>
            <w:r>
              <w:rPr>
                <w:rFonts w:ascii="Arial" w:hAnsi="Arial" w:eastAsia="Times New Roman" w:cs="Arial"/>
              </w:rPr>
              <w:t xml:space="preserve"> from previous clients (Govt/Private Sector)</w:t>
            </w:r>
          </w:p>
        </w:tc>
        <w:tc>
          <w:tcPr>
            <w:tcW w:w="0" w:type="auto"/>
            <w:vAlign w:val="center"/>
          </w:tcPr>
          <w:p w14:paraId="63744C2E">
            <w:pPr>
              <w:spacing w:after="0" w:line="240" w:lineRule="auto"/>
              <w:jc w:val="center"/>
              <w:rPr>
                <w:rFonts w:ascii="Arial" w:hAnsi="Arial" w:eastAsia="Times New Roman" w:cs="Arial"/>
              </w:rPr>
            </w:pPr>
          </w:p>
        </w:tc>
      </w:tr>
      <w:tr w14:paraId="0653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AE70B9B">
            <w:pPr>
              <w:spacing w:after="0" w:line="240" w:lineRule="auto"/>
              <w:jc w:val="center"/>
              <w:rPr>
                <w:rFonts w:ascii="Arial" w:hAnsi="Arial" w:eastAsia="Times New Roman" w:cs="Arial"/>
              </w:rPr>
            </w:pPr>
            <w:r>
              <w:rPr>
                <w:rFonts w:ascii="Arial" w:hAnsi="Arial" w:eastAsia="Times New Roman" w:cs="Arial"/>
              </w:rPr>
              <w:t>11.</w:t>
            </w:r>
          </w:p>
        </w:tc>
        <w:tc>
          <w:tcPr>
            <w:tcW w:w="0" w:type="auto"/>
            <w:vAlign w:val="center"/>
          </w:tcPr>
          <w:p w14:paraId="5CB4FC38">
            <w:pPr>
              <w:spacing w:after="0" w:line="240" w:lineRule="auto"/>
              <w:rPr>
                <w:rFonts w:ascii="Arial" w:hAnsi="Arial" w:eastAsia="Times New Roman" w:cs="Arial"/>
              </w:rPr>
            </w:pPr>
            <w:r>
              <w:rPr>
                <w:rFonts w:ascii="Arial" w:hAnsi="Arial" w:eastAsia="Times New Roman" w:cs="Arial"/>
                <w:b/>
                <w:bCs/>
              </w:rPr>
              <w:t>List of ticketing services</w:t>
            </w:r>
            <w:r>
              <w:rPr>
                <w:rFonts w:ascii="Arial" w:hAnsi="Arial" w:eastAsia="Times New Roman" w:cs="Arial"/>
              </w:rPr>
              <w:t xml:space="preserve"> offered (e-ticketing, visa processing, travel insurance, etc.)</w:t>
            </w:r>
          </w:p>
        </w:tc>
        <w:tc>
          <w:tcPr>
            <w:tcW w:w="0" w:type="auto"/>
            <w:vAlign w:val="center"/>
          </w:tcPr>
          <w:p w14:paraId="263CD20D">
            <w:pPr>
              <w:spacing w:after="0" w:line="240" w:lineRule="auto"/>
              <w:jc w:val="center"/>
              <w:rPr>
                <w:rFonts w:ascii="Arial" w:hAnsi="Arial" w:eastAsia="Times New Roman" w:cs="Arial"/>
              </w:rPr>
            </w:pPr>
          </w:p>
        </w:tc>
      </w:tr>
      <w:tr w14:paraId="7501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BC66D4C">
            <w:pPr>
              <w:spacing w:after="0" w:line="240" w:lineRule="auto"/>
              <w:jc w:val="center"/>
              <w:rPr>
                <w:rFonts w:ascii="Arial" w:hAnsi="Arial" w:eastAsia="Times New Roman" w:cs="Arial"/>
              </w:rPr>
            </w:pPr>
            <w:r>
              <w:rPr>
                <w:rFonts w:ascii="Arial" w:hAnsi="Arial" w:eastAsia="Times New Roman" w:cs="Arial"/>
              </w:rPr>
              <w:t>12.</w:t>
            </w:r>
          </w:p>
        </w:tc>
        <w:tc>
          <w:tcPr>
            <w:tcW w:w="0" w:type="auto"/>
            <w:vAlign w:val="center"/>
          </w:tcPr>
          <w:p w14:paraId="465BCBCF">
            <w:pPr>
              <w:spacing w:after="0" w:line="240" w:lineRule="auto"/>
              <w:rPr>
                <w:rFonts w:ascii="Arial" w:hAnsi="Arial" w:eastAsia="Times New Roman" w:cs="Arial"/>
              </w:rPr>
            </w:pPr>
            <w:r>
              <w:rPr>
                <w:rFonts w:ascii="Arial" w:hAnsi="Arial" w:eastAsia="Times New Roman" w:cs="Arial"/>
                <w:b/>
                <w:bCs/>
              </w:rPr>
              <w:t>Details of Credit Limit Offered</w:t>
            </w:r>
            <w:r>
              <w:rPr>
                <w:rFonts w:ascii="Arial" w:hAnsi="Arial" w:eastAsia="Times New Roman" w:cs="Arial"/>
              </w:rPr>
              <w:t xml:space="preserve"> (with supporting financial bank letter or guarantee)</w:t>
            </w:r>
          </w:p>
        </w:tc>
        <w:tc>
          <w:tcPr>
            <w:tcW w:w="0" w:type="auto"/>
            <w:vAlign w:val="center"/>
          </w:tcPr>
          <w:p w14:paraId="4AA69DD0">
            <w:pPr>
              <w:spacing w:after="0" w:line="240" w:lineRule="auto"/>
              <w:jc w:val="center"/>
              <w:rPr>
                <w:rFonts w:ascii="Arial" w:hAnsi="Arial" w:eastAsia="Times New Roman" w:cs="Arial"/>
              </w:rPr>
            </w:pPr>
          </w:p>
        </w:tc>
      </w:tr>
      <w:tr w14:paraId="4DD1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45F6C70E">
            <w:pPr>
              <w:spacing w:after="0" w:line="240" w:lineRule="auto"/>
              <w:jc w:val="center"/>
              <w:rPr>
                <w:rFonts w:ascii="Arial" w:hAnsi="Arial" w:eastAsia="Times New Roman" w:cs="Arial"/>
              </w:rPr>
            </w:pPr>
            <w:r>
              <w:rPr>
                <w:rFonts w:ascii="Arial" w:hAnsi="Arial" w:eastAsia="Times New Roman" w:cs="Arial"/>
              </w:rPr>
              <w:t>13.</w:t>
            </w:r>
          </w:p>
        </w:tc>
        <w:tc>
          <w:tcPr>
            <w:tcW w:w="0" w:type="auto"/>
            <w:vAlign w:val="center"/>
          </w:tcPr>
          <w:p w14:paraId="273F3157">
            <w:pPr>
              <w:spacing w:after="0" w:line="240" w:lineRule="auto"/>
              <w:rPr>
                <w:rFonts w:ascii="Arial" w:hAnsi="Arial" w:eastAsia="Times New Roman" w:cs="Arial"/>
              </w:rPr>
            </w:pPr>
            <w:r>
              <w:rPr>
                <w:rFonts w:ascii="Arial" w:hAnsi="Arial" w:eastAsia="Times New Roman" w:cs="Arial"/>
                <w:b/>
                <w:bCs/>
              </w:rPr>
              <w:t>Details of Credit Period Offered</w:t>
            </w:r>
            <w:r>
              <w:rPr>
                <w:rFonts w:ascii="Arial" w:hAnsi="Arial" w:eastAsia="Times New Roman" w:cs="Arial"/>
              </w:rPr>
              <w:t xml:space="preserve"> (on company letterhead)</w:t>
            </w:r>
          </w:p>
        </w:tc>
        <w:tc>
          <w:tcPr>
            <w:tcW w:w="0" w:type="auto"/>
            <w:vAlign w:val="center"/>
          </w:tcPr>
          <w:p w14:paraId="3E54947F">
            <w:pPr>
              <w:spacing w:after="0" w:line="240" w:lineRule="auto"/>
              <w:jc w:val="center"/>
              <w:rPr>
                <w:rFonts w:ascii="Arial" w:hAnsi="Arial" w:eastAsia="Times New Roman" w:cs="Arial"/>
              </w:rPr>
            </w:pPr>
          </w:p>
        </w:tc>
      </w:tr>
      <w:tr w14:paraId="25D6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7F0CF729">
            <w:pPr>
              <w:spacing w:after="0" w:line="240" w:lineRule="auto"/>
              <w:jc w:val="center"/>
              <w:rPr>
                <w:rFonts w:ascii="Arial" w:hAnsi="Arial" w:eastAsia="Times New Roman" w:cs="Arial"/>
              </w:rPr>
            </w:pPr>
            <w:r>
              <w:rPr>
                <w:rFonts w:ascii="Arial" w:hAnsi="Arial" w:eastAsia="Times New Roman" w:cs="Arial"/>
              </w:rPr>
              <w:t>14.</w:t>
            </w:r>
          </w:p>
        </w:tc>
        <w:tc>
          <w:tcPr>
            <w:tcW w:w="0" w:type="auto"/>
            <w:vAlign w:val="center"/>
          </w:tcPr>
          <w:p w14:paraId="2F72E232">
            <w:pPr>
              <w:spacing w:after="0" w:line="240" w:lineRule="auto"/>
              <w:rPr>
                <w:rFonts w:ascii="Arial" w:hAnsi="Arial" w:eastAsia="Times New Roman" w:cs="Arial"/>
              </w:rPr>
            </w:pPr>
            <w:r>
              <w:rPr>
                <w:rFonts w:ascii="Arial" w:hAnsi="Arial" w:eastAsia="Times New Roman" w:cs="Arial"/>
                <w:b/>
                <w:bCs/>
              </w:rPr>
              <w:t>Annual Turnover Statement</w:t>
            </w:r>
            <w:r>
              <w:rPr>
                <w:rFonts w:ascii="Arial" w:hAnsi="Arial" w:eastAsia="Times New Roman" w:cs="Arial"/>
              </w:rPr>
              <w:t xml:space="preserve"> – audited/certified by chartered accountant or bank</w:t>
            </w:r>
          </w:p>
        </w:tc>
        <w:tc>
          <w:tcPr>
            <w:tcW w:w="0" w:type="auto"/>
            <w:vAlign w:val="center"/>
          </w:tcPr>
          <w:p w14:paraId="655C6D35">
            <w:pPr>
              <w:spacing w:after="0" w:line="240" w:lineRule="auto"/>
              <w:jc w:val="center"/>
              <w:rPr>
                <w:rFonts w:ascii="Arial" w:hAnsi="Arial" w:eastAsia="Times New Roman" w:cs="Arial"/>
              </w:rPr>
            </w:pPr>
          </w:p>
        </w:tc>
      </w:tr>
      <w:tr w14:paraId="3BC7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DB953A8">
            <w:pPr>
              <w:spacing w:after="0" w:line="240" w:lineRule="auto"/>
              <w:jc w:val="center"/>
              <w:rPr>
                <w:rFonts w:ascii="Arial" w:hAnsi="Arial" w:eastAsia="Times New Roman" w:cs="Arial"/>
              </w:rPr>
            </w:pPr>
            <w:r>
              <w:rPr>
                <w:rFonts w:ascii="Arial" w:hAnsi="Arial" w:eastAsia="Times New Roman" w:cs="Arial"/>
              </w:rPr>
              <w:t>15.</w:t>
            </w:r>
          </w:p>
        </w:tc>
        <w:tc>
          <w:tcPr>
            <w:tcW w:w="0" w:type="auto"/>
            <w:vAlign w:val="center"/>
          </w:tcPr>
          <w:p w14:paraId="39CB30A5">
            <w:pPr>
              <w:spacing w:after="0" w:line="240" w:lineRule="auto"/>
              <w:rPr>
                <w:rFonts w:ascii="Arial" w:hAnsi="Arial" w:eastAsia="Times New Roman" w:cs="Arial"/>
              </w:rPr>
            </w:pPr>
            <w:r>
              <w:rPr>
                <w:rFonts w:ascii="Arial" w:hAnsi="Arial" w:eastAsia="Times New Roman" w:cs="Arial"/>
                <w:b/>
                <w:bCs/>
              </w:rPr>
              <w:t>Service Charge Quotes</w:t>
            </w:r>
            <w:r>
              <w:rPr>
                <w:rFonts w:ascii="Arial" w:hAnsi="Arial" w:eastAsia="Times New Roman" w:cs="Arial"/>
              </w:rPr>
              <w:t xml:space="preserve"> for domestic and international tickets (percentage basis)</w:t>
            </w:r>
          </w:p>
        </w:tc>
        <w:tc>
          <w:tcPr>
            <w:tcW w:w="0" w:type="auto"/>
            <w:vAlign w:val="center"/>
          </w:tcPr>
          <w:p w14:paraId="4315F0E6">
            <w:pPr>
              <w:spacing w:after="0" w:line="240" w:lineRule="auto"/>
              <w:jc w:val="center"/>
              <w:rPr>
                <w:rFonts w:ascii="Arial" w:hAnsi="Arial" w:eastAsia="Times New Roman" w:cs="Arial"/>
              </w:rPr>
            </w:pPr>
          </w:p>
        </w:tc>
      </w:tr>
      <w:tr w14:paraId="3D57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4A86BFDA">
            <w:pPr>
              <w:spacing w:after="0" w:line="240" w:lineRule="auto"/>
              <w:rPr>
                <w:rFonts w:ascii="Arial" w:hAnsi="Arial" w:eastAsia="Times New Roman" w:cs="Arial"/>
              </w:rPr>
            </w:pPr>
            <w:r>
              <w:rPr>
                <w:rFonts w:ascii="Arial" w:hAnsi="Arial" w:eastAsia="Times New Roman" w:cs="Arial"/>
              </w:rPr>
              <w:t>17.</w:t>
            </w:r>
          </w:p>
        </w:tc>
        <w:tc>
          <w:tcPr>
            <w:tcW w:w="0" w:type="auto"/>
            <w:vAlign w:val="center"/>
          </w:tcPr>
          <w:p w14:paraId="2E7AFC31">
            <w:pPr>
              <w:spacing w:after="0" w:line="240" w:lineRule="auto"/>
              <w:rPr>
                <w:rFonts w:ascii="Arial" w:hAnsi="Arial" w:eastAsia="Times New Roman" w:cs="Arial"/>
              </w:rPr>
            </w:pPr>
            <w:r>
              <w:rPr>
                <w:rFonts w:ascii="Arial" w:hAnsi="Arial" w:eastAsia="Times New Roman" w:cs="Arial"/>
                <w:b/>
                <w:bCs/>
              </w:rPr>
              <w:t>Undertaking/Affidavit</w:t>
            </w:r>
            <w:r>
              <w:rPr>
                <w:rFonts w:ascii="Arial" w:hAnsi="Arial" w:eastAsia="Times New Roman" w:cs="Arial"/>
              </w:rPr>
              <w:t xml:space="preserve"> (on Rs. 100 stamp paper) declaring the firm is not blacklisted anywhere</w:t>
            </w:r>
          </w:p>
        </w:tc>
        <w:tc>
          <w:tcPr>
            <w:tcW w:w="0" w:type="auto"/>
            <w:vAlign w:val="center"/>
          </w:tcPr>
          <w:p w14:paraId="3F29B027">
            <w:pPr>
              <w:spacing w:after="0" w:line="240" w:lineRule="auto"/>
              <w:jc w:val="center"/>
              <w:rPr>
                <w:rFonts w:ascii="Arial" w:hAnsi="Arial" w:eastAsia="Times New Roman" w:cs="Arial"/>
              </w:rPr>
            </w:pPr>
          </w:p>
        </w:tc>
      </w:tr>
      <w:tr w14:paraId="1FD5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6761251">
            <w:pPr>
              <w:spacing w:after="0" w:line="240" w:lineRule="auto"/>
              <w:jc w:val="center"/>
              <w:rPr>
                <w:rFonts w:ascii="Arial" w:hAnsi="Arial" w:eastAsia="Times New Roman" w:cs="Arial"/>
              </w:rPr>
            </w:pPr>
            <w:r>
              <w:rPr>
                <w:rFonts w:ascii="Arial" w:hAnsi="Arial" w:eastAsia="Times New Roman" w:cs="Arial"/>
              </w:rPr>
              <w:t>18.</w:t>
            </w:r>
          </w:p>
        </w:tc>
        <w:tc>
          <w:tcPr>
            <w:tcW w:w="0" w:type="auto"/>
            <w:vAlign w:val="center"/>
          </w:tcPr>
          <w:p w14:paraId="5AA9AB4E">
            <w:pPr>
              <w:spacing w:after="0" w:line="240" w:lineRule="auto"/>
              <w:rPr>
                <w:rFonts w:ascii="Arial" w:hAnsi="Arial" w:eastAsia="Times New Roman" w:cs="Arial"/>
              </w:rPr>
            </w:pPr>
            <w:r>
              <w:rPr>
                <w:rFonts w:ascii="Arial" w:hAnsi="Arial" w:eastAsia="Times New Roman" w:cs="Arial"/>
                <w:b/>
                <w:bCs/>
              </w:rPr>
              <w:t>Earnest Money</w:t>
            </w:r>
            <w:r>
              <w:rPr>
                <w:rFonts w:ascii="Arial" w:hAnsi="Arial" w:eastAsia="Times New Roman" w:cs="Arial"/>
              </w:rPr>
              <w:t>: Pay Order/Demand Draft of PKR 50,000 in favor of Institute of Space Technology</w:t>
            </w:r>
          </w:p>
        </w:tc>
        <w:tc>
          <w:tcPr>
            <w:tcW w:w="0" w:type="auto"/>
            <w:vAlign w:val="center"/>
          </w:tcPr>
          <w:p w14:paraId="3A1DAF2B">
            <w:pPr>
              <w:spacing w:after="0" w:line="240" w:lineRule="auto"/>
              <w:jc w:val="center"/>
              <w:rPr>
                <w:rFonts w:ascii="Arial" w:hAnsi="Arial" w:eastAsia="Times New Roman" w:cs="Arial"/>
              </w:rPr>
            </w:pPr>
          </w:p>
        </w:tc>
      </w:tr>
      <w:tr w14:paraId="7C99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C98B175">
            <w:pPr>
              <w:spacing w:after="0" w:line="240" w:lineRule="auto"/>
              <w:jc w:val="center"/>
              <w:rPr>
                <w:rFonts w:ascii="Arial" w:hAnsi="Arial" w:eastAsia="Times New Roman" w:cs="Arial"/>
              </w:rPr>
            </w:pPr>
            <w:r>
              <w:rPr>
                <w:rFonts w:ascii="Arial" w:hAnsi="Arial" w:eastAsia="Times New Roman" w:cs="Arial"/>
              </w:rPr>
              <w:t>19.</w:t>
            </w:r>
          </w:p>
        </w:tc>
        <w:tc>
          <w:tcPr>
            <w:tcW w:w="0" w:type="auto"/>
            <w:vAlign w:val="center"/>
          </w:tcPr>
          <w:p w14:paraId="38DCC1B3">
            <w:pPr>
              <w:spacing w:after="0" w:line="240" w:lineRule="auto"/>
              <w:rPr>
                <w:rFonts w:ascii="Arial" w:hAnsi="Arial" w:eastAsia="Times New Roman" w:cs="Arial"/>
              </w:rPr>
            </w:pPr>
            <w:r>
              <w:rPr>
                <w:rFonts w:ascii="Arial" w:hAnsi="Arial" w:eastAsia="Times New Roman" w:cs="Arial"/>
              </w:rPr>
              <w:t xml:space="preserve">Any </w:t>
            </w:r>
            <w:r>
              <w:rPr>
                <w:rFonts w:ascii="Arial" w:hAnsi="Arial" w:eastAsia="Times New Roman" w:cs="Arial"/>
                <w:b/>
                <w:bCs/>
              </w:rPr>
              <w:t>additional value-added services</w:t>
            </w:r>
            <w:r>
              <w:rPr>
                <w:rFonts w:ascii="Arial" w:hAnsi="Arial" w:eastAsia="Times New Roman" w:cs="Arial"/>
              </w:rPr>
              <w:t xml:space="preserve"> offered (optional)</w:t>
            </w:r>
          </w:p>
        </w:tc>
        <w:tc>
          <w:tcPr>
            <w:tcW w:w="0" w:type="auto"/>
            <w:vAlign w:val="center"/>
          </w:tcPr>
          <w:p w14:paraId="07FFD4F6">
            <w:pPr>
              <w:spacing w:after="0" w:line="240" w:lineRule="auto"/>
              <w:jc w:val="center"/>
              <w:rPr>
                <w:rFonts w:ascii="Arial" w:hAnsi="Arial" w:eastAsia="Times New Roman" w:cs="Arial"/>
              </w:rPr>
            </w:pPr>
          </w:p>
        </w:tc>
      </w:tr>
    </w:tbl>
    <w:p w14:paraId="4684E0D6">
      <w:pPr>
        <w:pStyle w:val="4"/>
        <w:spacing w:line="360" w:lineRule="auto"/>
        <w:ind w:left="0"/>
        <w:contextualSpacing w:val="0"/>
        <w:jc w:val="both"/>
        <w:rPr>
          <w:rFonts w:asciiTheme="minorBidi" w:hAnsiTheme="minorBidi"/>
          <w:b/>
          <w:sz w:val="24"/>
          <w:szCs w:val="24"/>
        </w:rPr>
      </w:pPr>
    </w:p>
    <w:sectPr>
      <w:headerReference r:id="rId5" w:type="default"/>
      <w:footerReference r:id="rId6" w:type="default"/>
      <w:pgSz w:w="11906" w:h="16838"/>
      <w:pgMar w:top="1800" w:right="1080" w:bottom="864" w:left="1080"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TimesNewRomanPS-BoldMT">
    <w:altName w:val="Times New Roman"/>
    <w:panose1 w:val="00000000000000000000"/>
    <w:charset w:val="00"/>
    <w:family w:val="roman"/>
    <w:pitch w:val="default"/>
    <w:sig w:usb0="00000000" w:usb1="00000000" w:usb2="00000000" w:usb3="00000000" w:csb0="00000000" w:csb1="00000000"/>
  </w:font>
  <w:font w:name="BookAntiqua">
    <w:altName w:val="Times New Roman"/>
    <w:panose1 w:val="00000000000000000000"/>
    <w:charset w:val="00"/>
    <w:family w:val="roman"/>
    <w:pitch w:val="default"/>
    <w:sig w:usb0="00000000" w:usb1="00000000" w:usb2="00000000" w:usb3="00000000" w:csb0="00000000" w:csb1="00000000"/>
  </w:font>
  <w:font w:name="BookAntiqua-Bold">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Bidi" w:hAnsiTheme="minorBidi"/>
        <w:sz w:val="20"/>
        <w:szCs w:val="20"/>
      </w:rPr>
      <w:id w:val="-1019772694"/>
      <w:docPartObj>
        <w:docPartGallery w:val="AutoText"/>
      </w:docPartObj>
    </w:sdtPr>
    <w:sdtEndPr>
      <w:rPr>
        <w:rFonts w:asciiTheme="minorBidi" w:hAnsiTheme="minorBidi"/>
        <w:sz w:val="20"/>
        <w:szCs w:val="20"/>
      </w:rPr>
    </w:sdtEndPr>
    <w:sdtContent>
      <w:sdt>
        <w:sdtPr>
          <w:rPr>
            <w:rFonts w:asciiTheme="minorBidi" w:hAnsiTheme="minorBidi"/>
            <w:sz w:val="20"/>
            <w:szCs w:val="20"/>
          </w:rPr>
          <w:id w:val="-162556078"/>
          <w:docPartObj>
            <w:docPartGallery w:val="AutoText"/>
          </w:docPartObj>
        </w:sdtPr>
        <w:sdtEndPr>
          <w:rPr>
            <w:rFonts w:asciiTheme="minorBidi" w:hAnsiTheme="minorBidi"/>
            <w:sz w:val="20"/>
            <w:szCs w:val="20"/>
          </w:rPr>
        </w:sdtEndPr>
        <w:sdtContent>
          <w:p w14:paraId="4B9CB638">
            <w:pPr>
              <w:pStyle w:val="10"/>
              <w:jc w:val="right"/>
              <w:rPr>
                <w:rFonts w:asciiTheme="minorBidi" w:hAnsiTheme="minorBidi"/>
                <w:sz w:val="20"/>
                <w:szCs w:val="20"/>
              </w:rPr>
            </w:pPr>
            <w:r>
              <w:rPr>
                <w:rFonts w:asciiTheme="minorBidi" w:hAnsiTheme="minorBidi"/>
                <w:sz w:val="20"/>
                <w:szCs w:val="20"/>
              </w:rPr>
              <w:t xml:space="preserve">Page </w:t>
            </w:r>
            <w:r>
              <w:rPr>
                <w:rFonts w:asciiTheme="minorBidi" w:hAnsiTheme="minorBidi"/>
                <w:b/>
                <w:bCs/>
                <w:sz w:val="20"/>
                <w:szCs w:val="20"/>
              </w:rPr>
              <w:fldChar w:fldCharType="begin"/>
            </w:r>
            <w:r>
              <w:rPr>
                <w:rFonts w:asciiTheme="minorBidi" w:hAnsiTheme="minorBidi"/>
                <w:b/>
                <w:bCs/>
                <w:sz w:val="20"/>
                <w:szCs w:val="20"/>
              </w:rPr>
              <w:instrText xml:space="preserve"> PAGE </w:instrText>
            </w:r>
            <w:r>
              <w:rPr>
                <w:rFonts w:asciiTheme="minorBidi" w:hAnsiTheme="minorBidi"/>
                <w:b/>
                <w:bCs/>
                <w:sz w:val="20"/>
                <w:szCs w:val="20"/>
              </w:rPr>
              <w:fldChar w:fldCharType="separate"/>
            </w:r>
            <w:r>
              <w:rPr>
                <w:rFonts w:asciiTheme="minorBidi" w:hAnsiTheme="minorBidi"/>
                <w:b/>
                <w:bCs/>
                <w:sz w:val="20"/>
                <w:szCs w:val="20"/>
              </w:rPr>
              <w:t>4</w:t>
            </w:r>
            <w:r>
              <w:rPr>
                <w:rFonts w:asciiTheme="minorBidi" w:hAnsiTheme="minorBidi"/>
                <w:b/>
                <w:bCs/>
                <w:sz w:val="20"/>
                <w:szCs w:val="20"/>
              </w:rPr>
              <w:fldChar w:fldCharType="end"/>
            </w:r>
            <w:r>
              <w:rPr>
                <w:rFonts w:asciiTheme="minorBidi" w:hAnsiTheme="minorBidi"/>
                <w:sz w:val="20"/>
                <w:szCs w:val="20"/>
              </w:rPr>
              <w:t xml:space="preserve"> of </w:t>
            </w:r>
            <w:r>
              <w:rPr>
                <w:rFonts w:asciiTheme="minorBidi" w:hAnsiTheme="minorBidi"/>
                <w:b/>
                <w:bCs/>
                <w:sz w:val="20"/>
                <w:szCs w:val="20"/>
              </w:rPr>
              <w:fldChar w:fldCharType="begin"/>
            </w:r>
            <w:r>
              <w:rPr>
                <w:rFonts w:asciiTheme="minorBidi" w:hAnsiTheme="minorBidi"/>
                <w:b/>
                <w:bCs/>
                <w:sz w:val="20"/>
                <w:szCs w:val="20"/>
              </w:rPr>
              <w:instrText xml:space="preserve"> NUMPAGES  </w:instrText>
            </w:r>
            <w:r>
              <w:rPr>
                <w:rFonts w:asciiTheme="minorBidi" w:hAnsiTheme="minorBidi"/>
                <w:b/>
                <w:bCs/>
                <w:sz w:val="20"/>
                <w:szCs w:val="20"/>
              </w:rPr>
              <w:fldChar w:fldCharType="separate"/>
            </w:r>
            <w:r>
              <w:rPr>
                <w:rFonts w:asciiTheme="minorBidi" w:hAnsiTheme="minorBidi"/>
                <w:b/>
                <w:bCs/>
                <w:sz w:val="20"/>
                <w:szCs w:val="20"/>
              </w:rPr>
              <w:t>5</w:t>
            </w:r>
            <w:r>
              <w:rPr>
                <w:rFonts w:asciiTheme="minorBidi" w:hAnsiTheme="minorBidi"/>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744D">
    <w:pPr>
      <w:pStyle w:val="11"/>
      <w:contextualSpacing/>
      <w:jc w:val="right"/>
      <w:rPr>
        <w:rFonts w:eastAsia="Times New Roman" w:asciiTheme="minorBidi" w:hAnsiTheme="minorBidi"/>
        <w:b/>
        <w:bCs/>
        <w:color w:val="000000" w:themeColor="text1"/>
        <w:sz w:val="28"/>
        <w:szCs w:val="28"/>
        <w14:textFill>
          <w14:solidFill>
            <w14:schemeClr w14:val="tx1"/>
          </w14:solidFill>
        </w14:textFill>
      </w:rPr>
    </w:pPr>
    <w:r>
      <w:rPr>
        <w:rFonts w:eastAsia="Times New Roman" w:asciiTheme="minorBidi" w:hAnsiTheme="minorBidi"/>
        <w:b/>
        <w:bCs/>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0</wp:posOffset>
          </wp:positionH>
          <wp:positionV relativeFrom="margin">
            <wp:posOffset>-1005840</wp:posOffset>
          </wp:positionV>
          <wp:extent cx="914400" cy="914400"/>
          <wp:effectExtent l="0" t="0" r="0" b="0"/>
          <wp:wrapSquare wrapText="bothSides"/>
          <wp:docPr id="18" name="Picture 18" descr="C:\Users\usama.ahmed\OneDrive - Higher Education Commission\ICASTA\ICSAT 2024\Initiation\Graphics\ICSAT Log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usama.ahmed\OneDrive - Higher Education Commission\ICASTA\ICSAT 2024\Initiation\Graphics\ICSAT Logo-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anchor>
      </w:drawing>
    </w:r>
    <w:r>
      <w:rPr>
        <w:rFonts w:eastAsia="Times New Roman" w:asciiTheme="minorBidi" w:hAnsiTheme="minorBidi"/>
        <w:b/>
        <w:bCs/>
        <w:color w:val="000000" w:themeColor="text1"/>
        <w:sz w:val="28"/>
        <w:szCs w:val="28"/>
        <w14:textFill>
          <w14:solidFill>
            <w14:schemeClr w14:val="tx1"/>
          </w14:solidFill>
        </w14:textFill>
      </w:rPr>
      <w:t>International Conference on</w:t>
    </w:r>
  </w:p>
  <w:p w14:paraId="00EC790E">
    <w:pPr>
      <w:pStyle w:val="11"/>
      <w:contextualSpacing/>
      <w:jc w:val="right"/>
      <w:rPr>
        <w:rFonts w:eastAsia="Times New Roman" w:asciiTheme="minorBidi" w:hAnsiTheme="minorBidi"/>
        <w:b/>
        <w:bCs/>
        <w:color w:val="4472C4" w:themeColor="accent5"/>
        <w:sz w:val="28"/>
        <w:szCs w:val="28"/>
        <w14:textFill>
          <w14:solidFill>
            <w14:schemeClr w14:val="accent5"/>
          </w14:solidFill>
        </w14:textFill>
      </w:rPr>
    </w:pPr>
    <w:r>
      <w:rPr>
        <w:rFonts w:eastAsia="Times New Roman" w:asciiTheme="minorBidi" w:hAnsiTheme="minorBidi"/>
        <w:b/>
        <w:bCs/>
        <w:color w:val="4472C4" w:themeColor="accent5"/>
        <w:sz w:val="28"/>
        <w:szCs w:val="28"/>
        <w14:textFill>
          <w14:solidFill>
            <w14:schemeClr w14:val="accent5"/>
          </w14:solidFill>
        </w14:textFill>
      </w:rPr>
      <w:t>Applications of Space Science, and Technology</w:t>
    </w:r>
  </w:p>
  <w:p w14:paraId="0AECC1B7">
    <w:pPr>
      <w:pStyle w:val="11"/>
      <w:contextualSpacing/>
      <w:jc w:val="right"/>
      <w:rPr>
        <w:color w:val="4472C4" w:themeColor="accent5"/>
        <w:sz w:val="24"/>
        <w:szCs w:val="24"/>
        <w14:textFill>
          <w14:solidFill>
            <w14:schemeClr w14:val="accent5"/>
          </w14:solidFill>
        </w14:textFill>
      </w:rPr>
    </w:pPr>
    <w:r>
      <w:rPr>
        <w:rFonts w:eastAsia="Times New Roman" w:asciiTheme="minorBidi" w:hAnsiTheme="minorBidi"/>
        <w:b/>
        <w:bCs/>
        <w:color w:val="4472C4" w:themeColor="accent5"/>
        <w:sz w:val="28"/>
        <w:szCs w:val="28"/>
        <w14:textFill>
          <w14:solidFill>
            <w14:schemeClr w14:val="accent5"/>
          </w14:solidFill>
        </w14:textFill>
      </w:rPr>
      <w:t>(ICAST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A3FE5"/>
    <w:multiLevelType w:val="multilevel"/>
    <w:tmpl w:val="049A3FE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3300D1"/>
    <w:multiLevelType w:val="multilevel"/>
    <w:tmpl w:val="153300D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5F38FE"/>
    <w:multiLevelType w:val="multilevel"/>
    <w:tmpl w:val="1F5F38F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F15124"/>
    <w:multiLevelType w:val="multilevel"/>
    <w:tmpl w:val="21F15124"/>
    <w:lvl w:ilvl="0" w:tentative="0">
      <w:start w:val="1"/>
      <w:numFmt w:val="decimal"/>
      <w:pStyle w:val="3"/>
      <w:lvlText w:val="%1."/>
      <w:lvlJc w:val="left"/>
      <w:pPr>
        <w:ind w:left="720" w:hanging="360"/>
      </w:pPr>
    </w:lvl>
    <w:lvl w:ilvl="1" w:tentative="0">
      <w:start w:val="1"/>
      <w:numFmt w:val="decimal"/>
      <w:pStyle w:val="5"/>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518F2153"/>
    <w:multiLevelType w:val="multilevel"/>
    <w:tmpl w:val="518F2153"/>
    <w:lvl w:ilvl="0" w:tentative="0">
      <w:start w:val="1"/>
      <w:numFmt w:val="lowerRoman"/>
      <w:lvlText w:val="%1."/>
      <w:lvlJc w:val="right"/>
      <w:pPr>
        <w:ind w:left="752" w:hanging="360"/>
      </w:pPr>
    </w:lvl>
    <w:lvl w:ilvl="1" w:tentative="0">
      <w:start w:val="1"/>
      <w:numFmt w:val="lowerLetter"/>
      <w:lvlText w:val="%2."/>
      <w:lvlJc w:val="left"/>
      <w:pPr>
        <w:ind w:left="1472" w:hanging="360"/>
      </w:pPr>
    </w:lvl>
    <w:lvl w:ilvl="2" w:tentative="0">
      <w:start w:val="1"/>
      <w:numFmt w:val="lowerRoman"/>
      <w:lvlText w:val="%3."/>
      <w:lvlJc w:val="right"/>
      <w:pPr>
        <w:ind w:left="2192" w:hanging="180"/>
      </w:pPr>
    </w:lvl>
    <w:lvl w:ilvl="3" w:tentative="0">
      <w:start w:val="1"/>
      <w:numFmt w:val="decimal"/>
      <w:lvlText w:val="%4."/>
      <w:lvlJc w:val="left"/>
      <w:pPr>
        <w:ind w:left="2912" w:hanging="360"/>
      </w:pPr>
    </w:lvl>
    <w:lvl w:ilvl="4" w:tentative="0">
      <w:start w:val="1"/>
      <w:numFmt w:val="lowerLetter"/>
      <w:lvlText w:val="%5."/>
      <w:lvlJc w:val="left"/>
      <w:pPr>
        <w:ind w:left="3632" w:hanging="360"/>
      </w:pPr>
    </w:lvl>
    <w:lvl w:ilvl="5" w:tentative="0">
      <w:start w:val="1"/>
      <w:numFmt w:val="lowerRoman"/>
      <w:lvlText w:val="%6."/>
      <w:lvlJc w:val="right"/>
      <w:pPr>
        <w:ind w:left="4352" w:hanging="180"/>
      </w:pPr>
    </w:lvl>
    <w:lvl w:ilvl="6" w:tentative="0">
      <w:start w:val="1"/>
      <w:numFmt w:val="decimal"/>
      <w:lvlText w:val="%7."/>
      <w:lvlJc w:val="left"/>
      <w:pPr>
        <w:ind w:left="5072" w:hanging="360"/>
      </w:pPr>
    </w:lvl>
    <w:lvl w:ilvl="7" w:tentative="0">
      <w:start w:val="1"/>
      <w:numFmt w:val="lowerLetter"/>
      <w:lvlText w:val="%8."/>
      <w:lvlJc w:val="left"/>
      <w:pPr>
        <w:ind w:left="5792" w:hanging="360"/>
      </w:pPr>
    </w:lvl>
    <w:lvl w:ilvl="8" w:tentative="0">
      <w:start w:val="1"/>
      <w:numFmt w:val="lowerRoman"/>
      <w:lvlText w:val="%9."/>
      <w:lvlJc w:val="right"/>
      <w:pPr>
        <w:ind w:left="6512" w:hanging="180"/>
      </w:pPr>
    </w:lvl>
  </w:abstractNum>
  <w:abstractNum w:abstractNumId="5">
    <w:nsid w:val="76AD2105"/>
    <w:multiLevelType w:val="multilevel"/>
    <w:tmpl w:val="76AD210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2C"/>
    <w:rsid w:val="000076DE"/>
    <w:rsid w:val="000733FC"/>
    <w:rsid w:val="0007340B"/>
    <w:rsid w:val="00076707"/>
    <w:rsid w:val="0009203E"/>
    <w:rsid w:val="000B0D52"/>
    <w:rsid w:val="000C4574"/>
    <w:rsid w:val="000C7C50"/>
    <w:rsid w:val="000D3EC5"/>
    <w:rsid w:val="000E5C06"/>
    <w:rsid w:val="000E69B4"/>
    <w:rsid w:val="000F7A10"/>
    <w:rsid w:val="0010624D"/>
    <w:rsid w:val="001622EF"/>
    <w:rsid w:val="001B4F91"/>
    <w:rsid w:val="001E65A8"/>
    <w:rsid w:val="002018F7"/>
    <w:rsid w:val="002045F0"/>
    <w:rsid w:val="00204976"/>
    <w:rsid w:val="002227DA"/>
    <w:rsid w:val="002265AB"/>
    <w:rsid w:val="00230BE2"/>
    <w:rsid w:val="00235E0B"/>
    <w:rsid w:val="00296BBD"/>
    <w:rsid w:val="002A4D5E"/>
    <w:rsid w:val="002D02C7"/>
    <w:rsid w:val="002D20E3"/>
    <w:rsid w:val="002E2F26"/>
    <w:rsid w:val="003037F6"/>
    <w:rsid w:val="0031403E"/>
    <w:rsid w:val="00315BE5"/>
    <w:rsid w:val="00316765"/>
    <w:rsid w:val="003347EF"/>
    <w:rsid w:val="0034229D"/>
    <w:rsid w:val="00344FF1"/>
    <w:rsid w:val="003475DA"/>
    <w:rsid w:val="0035056C"/>
    <w:rsid w:val="00377719"/>
    <w:rsid w:val="00387FE9"/>
    <w:rsid w:val="003A0EDD"/>
    <w:rsid w:val="003B4218"/>
    <w:rsid w:val="003B469A"/>
    <w:rsid w:val="003D1CEC"/>
    <w:rsid w:val="003D593B"/>
    <w:rsid w:val="003E22AC"/>
    <w:rsid w:val="003F3A17"/>
    <w:rsid w:val="00413D09"/>
    <w:rsid w:val="00423F1F"/>
    <w:rsid w:val="004257A5"/>
    <w:rsid w:val="0043298F"/>
    <w:rsid w:val="00493FCE"/>
    <w:rsid w:val="004A438F"/>
    <w:rsid w:val="004B57FA"/>
    <w:rsid w:val="004F6963"/>
    <w:rsid w:val="00524010"/>
    <w:rsid w:val="00531EFE"/>
    <w:rsid w:val="00534EC6"/>
    <w:rsid w:val="005363D9"/>
    <w:rsid w:val="005452BE"/>
    <w:rsid w:val="00547377"/>
    <w:rsid w:val="00567A3A"/>
    <w:rsid w:val="00571654"/>
    <w:rsid w:val="00575473"/>
    <w:rsid w:val="00583774"/>
    <w:rsid w:val="00587307"/>
    <w:rsid w:val="00593BC3"/>
    <w:rsid w:val="005A370E"/>
    <w:rsid w:val="005B4B2A"/>
    <w:rsid w:val="005B4BBB"/>
    <w:rsid w:val="005C5290"/>
    <w:rsid w:val="005E6B41"/>
    <w:rsid w:val="005F6DEB"/>
    <w:rsid w:val="0064743E"/>
    <w:rsid w:val="0065759E"/>
    <w:rsid w:val="006A1CAC"/>
    <w:rsid w:val="006E40C5"/>
    <w:rsid w:val="00700C2C"/>
    <w:rsid w:val="007120E2"/>
    <w:rsid w:val="007248AD"/>
    <w:rsid w:val="00727039"/>
    <w:rsid w:val="00727760"/>
    <w:rsid w:val="007522DF"/>
    <w:rsid w:val="007665A9"/>
    <w:rsid w:val="0077419C"/>
    <w:rsid w:val="0079679F"/>
    <w:rsid w:val="007A1191"/>
    <w:rsid w:val="007A1615"/>
    <w:rsid w:val="007A7D8C"/>
    <w:rsid w:val="007B642E"/>
    <w:rsid w:val="007C7024"/>
    <w:rsid w:val="007D5E9F"/>
    <w:rsid w:val="007D786B"/>
    <w:rsid w:val="007F7B23"/>
    <w:rsid w:val="0082501F"/>
    <w:rsid w:val="00844FDE"/>
    <w:rsid w:val="00874621"/>
    <w:rsid w:val="008854A8"/>
    <w:rsid w:val="008854CC"/>
    <w:rsid w:val="008B71F4"/>
    <w:rsid w:val="008D0DA9"/>
    <w:rsid w:val="008F14EB"/>
    <w:rsid w:val="00953E89"/>
    <w:rsid w:val="0096342B"/>
    <w:rsid w:val="009822FD"/>
    <w:rsid w:val="00987BF8"/>
    <w:rsid w:val="00994044"/>
    <w:rsid w:val="009B06B0"/>
    <w:rsid w:val="009D3823"/>
    <w:rsid w:val="009E77A2"/>
    <w:rsid w:val="00A213B3"/>
    <w:rsid w:val="00A51677"/>
    <w:rsid w:val="00A56D1F"/>
    <w:rsid w:val="00A6515F"/>
    <w:rsid w:val="00A9176E"/>
    <w:rsid w:val="00AB073B"/>
    <w:rsid w:val="00AC546A"/>
    <w:rsid w:val="00B53260"/>
    <w:rsid w:val="00B92C64"/>
    <w:rsid w:val="00BB520B"/>
    <w:rsid w:val="00C02A16"/>
    <w:rsid w:val="00C150A0"/>
    <w:rsid w:val="00C22FBF"/>
    <w:rsid w:val="00C3770F"/>
    <w:rsid w:val="00C54311"/>
    <w:rsid w:val="00C8090E"/>
    <w:rsid w:val="00C91254"/>
    <w:rsid w:val="00CB18E8"/>
    <w:rsid w:val="00D01CF7"/>
    <w:rsid w:val="00D16059"/>
    <w:rsid w:val="00D227B6"/>
    <w:rsid w:val="00D25A4C"/>
    <w:rsid w:val="00D8142F"/>
    <w:rsid w:val="00D86D32"/>
    <w:rsid w:val="00D938E3"/>
    <w:rsid w:val="00DB15A8"/>
    <w:rsid w:val="00DB1D4B"/>
    <w:rsid w:val="00DC15A1"/>
    <w:rsid w:val="00DC72DC"/>
    <w:rsid w:val="00DD08B6"/>
    <w:rsid w:val="00DE34FE"/>
    <w:rsid w:val="00DF0CD6"/>
    <w:rsid w:val="00DF5BCC"/>
    <w:rsid w:val="00E02AB0"/>
    <w:rsid w:val="00E03F49"/>
    <w:rsid w:val="00E0650A"/>
    <w:rsid w:val="00E11DEF"/>
    <w:rsid w:val="00E1337F"/>
    <w:rsid w:val="00E27223"/>
    <w:rsid w:val="00E35777"/>
    <w:rsid w:val="00E4573A"/>
    <w:rsid w:val="00E75B1C"/>
    <w:rsid w:val="00E84409"/>
    <w:rsid w:val="00E9089D"/>
    <w:rsid w:val="00EA0387"/>
    <w:rsid w:val="00EB6511"/>
    <w:rsid w:val="00ED7DF2"/>
    <w:rsid w:val="00EF793E"/>
    <w:rsid w:val="00F020D8"/>
    <w:rsid w:val="00F03413"/>
    <w:rsid w:val="00F063E7"/>
    <w:rsid w:val="00F104C5"/>
    <w:rsid w:val="00F60F72"/>
    <w:rsid w:val="00FD175E"/>
    <w:rsid w:val="00FD212C"/>
    <w:rsid w:val="48D907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spacing w:after="360"/>
      <w:outlineLvl w:val="0"/>
    </w:pPr>
    <w:rPr>
      <w:rFonts w:eastAsia="Times New Roman" w:asciiTheme="minorBidi" w:hAnsiTheme="minorBidi"/>
      <w:b/>
      <w:bCs/>
      <w:color w:val="4472C4" w:themeColor="accent5"/>
      <w:sz w:val="28"/>
      <w:szCs w:val="28"/>
      <w14:textFill>
        <w14:solidFill>
          <w14:schemeClr w14:val="accent5"/>
        </w14:solidFill>
      </w14:textFill>
    </w:rPr>
  </w:style>
  <w:style w:type="paragraph" w:styleId="3">
    <w:name w:val="heading 2"/>
    <w:basedOn w:val="4"/>
    <w:next w:val="1"/>
    <w:link w:val="20"/>
    <w:unhideWhenUsed/>
    <w:qFormat/>
    <w:uiPriority w:val="9"/>
    <w:pPr>
      <w:numPr>
        <w:ilvl w:val="0"/>
        <w:numId w:val="1"/>
      </w:numPr>
      <w:spacing w:after="360"/>
      <w:outlineLvl w:val="1"/>
    </w:pPr>
    <w:rPr>
      <w:rFonts w:eastAsia="Times New Roman" w:asciiTheme="minorBidi" w:hAnsiTheme="minorBidi"/>
      <w:b/>
      <w:bCs/>
      <w:sz w:val="24"/>
      <w:szCs w:val="24"/>
    </w:rPr>
  </w:style>
  <w:style w:type="paragraph" w:styleId="5">
    <w:name w:val="heading 3"/>
    <w:basedOn w:val="4"/>
    <w:next w:val="1"/>
    <w:link w:val="21"/>
    <w:unhideWhenUsed/>
    <w:qFormat/>
    <w:uiPriority w:val="9"/>
    <w:pPr>
      <w:numPr>
        <w:ilvl w:val="1"/>
        <w:numId w:val="1"/>
      </w:numPr>
      <w:spacing w:after="360"/>
      <w:outlineLvl w:val="2"/>
    </w:pPr>
    <w:rPr>
      <w:rFonts w:eastAsia="Times New Roman" w:asciiTheme="minorBidi" w:hAnsiTheme="minorBidi"/>
      <w:b/>
      <w:bCs/>
      <w:sz w:val="24"/>
      <w:szCs w:val="24"/>
    </w:rPr>
  </w:style>
  <w:style w:type="paragraph" w:styleId="6">
    <w:name w:val="heading 4"/>
    <w:basedOn w:val="1"/>
    <w:next w:val="1"/>
    <w:link w:val="2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link w:val="18"/>
    <w:qFormat/>
    <w:uiPriority w:val="34"/>
    <w:pPr>
      <w:ind w:left="720"/>
      <w:contextualSpacing/>
    </w:pPr>
  </w:style>
  <w:style w:type="character" w:styleId="9">
    <w:name w:val="Emphasis"/>
    <w:basedOn w:val="7"/>
    <w:qFormat/>
    <w:uiPriority w:val="20"/>
    <w:rPr>
      <w:i/>
      <w:iCs/>
    </w:rPr>
  </w:style>
  <w:style w:type="paragraph" w:styleId="10">
    <w:name w:val="footer"/>
    <w:basedOn w:val="1"/>
    <w:link w:val="17"/>
    <w:unhideWhenUsed/>
    <w:qFormat/>
    <w:uiPriority w:val="99"/>
    <w:pPr>
      <w:tabs>
        <w:tab w:val="center" w:pos="4680"/>
        <w:tab w:val="right" w:pos="9360"/>
      </w:tabs>
      <w:spacing w:after="0" w:line="240" w:lineRule="auto"/>
    </w:pPr>
  </w:style>
  <w:style w:type="paragraph" w:styleId="11">
    <w:name w:val="header"/>
    <w:basedOn w:val="1"/>
    <w:link w:val="16"/>
    <w:unhideWhenUsed/>
    <w:qFormat/>
    <w:uiPriority w:val="99"/>
    <w:pPr>
      <w:tabs>
        <w:tab w:val="center" w:pos="4680"/>
        <w:tab w:val="right" w:pos="9360"/>
      </w:tabs>
      <w:spacing w:after="0" w:line="240" w:lineRule="auto"/>
    </w:pPr>
  </w:style>
  <w:style w:type="character" w:styleId="12">
    <w:name w:val="Hyperlink"/>
    <w:basedOn w:val="7"/>
    <w:unhideWhenUsed/>
    <w:uiPriority w:val="99"/>
    <w:rPr>
      <w:color w:val="0563C1" w:themeColor="hyperlink"/>
      <w:u w:val="single"/>
      <w14:textFill>
        <w14:solidFill>
          <w14:schemeClr w14:val="hlink"/>
        </w14:solidFill>
      </w14:textFill>
    </w:r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7"/>
    <w:qFormat/>
    <w:uiPriority w:val="22"/>
    <w:rPr>
      <w:b/>
      <w:bCs/>
    </w:rPr>
  </w:style>
  <w:style w:type="table" w:styleId="15">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er Char"/>
    <w:basedOn w:val="7"/>
    <w:link w:val="11"/>
    <w:uiPriority w:val="99"/>
  </w:style>
  <w:style w:type="character" w:customStyle="1" w:styleId="17">
    <w:name w:val="Footer Char"/>
    <w:basedOn w:val="7"/>
    <w:link w:val="10"/>
    <w:qFormat/>
    <w:uiPriority w:val="99"/>
  </w:style>
  <w:style w:type="character" w:customStyle="1" w:styleId="18">
    <w:name w:val="List Paragraph Char"/>
    <w:link w:val="4"/>
    <w:qFormat/>
    <w:locked/>
    <w:uiPriority w:val="34"/>
  </w:style>
  <w:style w:type="character" w:customStyle="1" w:styleId="19">
    <w:name w:val="Heading 1 Char"/>
    <w:basedOn w:val="7"/>
    <w:link w:val="2"/>
    <w:uiPriority w:val="9"/>
    <w:rPr>
      <w:rFonts w:eastAsia="Times New Roman" w:asciiTheme="minorBidi" w:hAnsiTheme="minorBidi"/>
      <w:b/>
      <w:bCs/>
      <w:color w:val="4472C4" w:themeColor="accent5"/>
      <w:sz w:val="28"/>
      <w:szCs w:val="28"/>
      <w14:textFill>
        <w14:solidFill>
          <w14:schemeClr w14:val="accent5"/>
        </w14:solidFill>
      </w14:textFill>
    </w:rPr>
  </w:style>
  <w:style w:type="character" w:customStyle="1" w:styleId="20">
    <w:name w:val="Heading 2 Char"/>
    <w:basedOn w:val="7"/>
    <w:link w:val="3"/>
    <w:qFormat/>
    <w:uiPriority w:val="9"/>
    <w:rPr>
      <w:rFonts w:eastAsia="Times New Roman" w:asciiTheme="minorBidi" w:hAnsiTheme="minorBidi"/>
      <w:b/>
      <w:bCs/>
      <w:sz w:val="24"/>
      <w:szCs w:val="24"/>
    </w:rPr>
  </w:style>
  <w:style w:type="character" w:customStyle="1" w:styleId="21">
    <w:name w:val="Heading 3 Char"/>
    <w:basedOn w:val="7"/>
    <w:link w:val="5"/>
    <w:qFormat/>
    <w:uiPriority w:val="9"/>
    <w:rPr>
      <w:rFonts w:eastAsia="Times New Roman" w:asciiTheme="minorBidi" w:hAnsiTheme="minorBidi"/>
      <w:b/>
      <w:bCs/>
      <w:sz w:val="24"/>
      <w:szCs w:val="24"/>
    </w:rPr>
  </w:style>
  <w:style w:type="character" w:customStyle="1" w:styleId="22">
    <w:name w:val="Heading 4 Char"/>
    <w:basedOn w:val="7"/>
    <w:link w:val="6"/>
    <w:semiHidden/>
    <w:qFormat/>
    <w:uiPriority w:val="9"/>
    <w:rPr>
      <w:rFonts w:asciiTheme="majorHAnsi" w:hAnsiTheme="majorHAnsi" w:eastAsiaTheme="majorEastAsia" w:cstheme="majorBidi"/>
      <w:i/>
      <w:iCs/>
      <w:color w:val="2E75B6" w:themeColor="accent1" w:themeShade="BF"/>
    </w:rPr>
  </w:style>
  <w:style w:type="character" w:customStyle="1" w:styleId="23">
    <w:name w:val="A3"/>
    <w:uiPriority w:val="99"/>
    <w:rPr>
      <w:rFonts w:hint="default" w:ascii="Book Antiqua" w:hAnsi="Book Antiqua" w:cs="Book Antiqua"/>
      <w:color w:val="000000"/>
      <w:sz w:val="22"/>
      <w:szCs w:val="22"/>
    </w:rPr>
  </w:style>
  <w:style w:type="table" w:customStyle="1" w:styleId="24">
    <w:name w:val="Plain Table 5"/>
    <w:basedOn w:val="8"/>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5">
    <w:name w:val="fontstyle01"/>
    <w:basedOn w:val="7"/>
    <w:uiPriority w:val="0"/>
    <w:rPr>
      <w:rFonts w:hint="default" w:ascii="TimesNewRomanPS-BoldMT" w:hAnsi="TimesNewRomanPS-BoldMT"/>
      <w:b/>
      <w:bCs/>
      <w:color w:val="000000"/>
      <w:sz w:val="24"/>
      <w:szCs w:val="24"/>
    </w:rPr>
  </w:style>
  <w:style w:type="character" w:customStyle="1" w:styleId="26">
    <w:name w:val="fontstyle21"/>
    <w:basedOn w:val="7"/>
    <w:uiPriority w:val="0"/>
    <w:rPr>
      <w:rFonts w:hint="default" w:ascii="BookAntiqua" w:hAnsi="BookAntiqua"/>
      <w:color w:val="000000"/>
      <w:sz w:val="24"/>
      <w:szCs w:val="24"/>
    </w:rPr>
  </w:style>
  <w:style w:type="character" w:customStyle="1" w:styleId="27">
    <w:name w:val="fontstyle31"/>
    <w:basedOn w:val="7"/>
    <w:uiPriority w:val="0"/>
    <w:rPr>
      <w:rFonts w:hint="default" w:ascii="BookAntiqua-Bold" w:hAnsi="BookAntiqua-Bold"/>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76335DEDC034C82C75A4DC8FD3FDB" ma:contentTypeVersion="19" ma:contentTypeDescription="Create a new document." ma:contentTypeScope="" ma:versionID="6687b0a0471043982ebe5d7c48a0833a">
  <xsd:schema xmlns:xsd="http://www.w3.org/2001/XMLSchema" xmlns:xs="http://www.w3.org/2001/XMLSchema" xmlns:p="http://schemas.microsoft.com/office/2006/metadata/properties" xmlns:ns3="6c213202-d62f-47f9-aeac-cd0e2a9818a6" xmlns:ns4="b2f04380-005c-40c2-aa47-6e101ecc16b9" targetNamespace="http://schemas.microsoft.com/office/2006/metadata/properties" ma:root="true" ma:fieldsID="36293fe5bf857a6844281339330e2718" ns3:_="" ns4:_="">
    <xsd:import namespace="6c213202-d62f-47f9-aeac-cd0e2a9818a6"/>
    <xsd:import namespace="b2f04380-005c-40c2-aa47-6e101ecc16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13202-d62f-47f9-aeac-cd0e2a98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04380-005c-40c2-aa47-6e101ecc16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213202-d62f-47f9-aeac-cd0e2a9818a6" xsi:nil="true"/>
  </documentManagement>
</p:properties>
</file>

<file path=customXml/itemProps1.xml><?xml version="1.0" encoding="utf-8"?>
<ds:datastoreItem xmlns:ds="http://schemas.openxmlformats.org/officeDocument/2006/customXml" ds:itemID="{E7529CB4-FFD8-484F-BC4A-F485514FED41}">
  <ds:schemaRefs/>
</ds:datastoreItem>
</file>

<file path=customXml/itemProps2.xml><?xml version="1.0" encoding="utf-8"?>
<ds:datastoreItem xmlns:ds="http://schemas.openxmlformats.org/officeDocument/2006/customXml" ds:itemID="{5695DAF9-1337-48D1-BA59-CA7DF71B9550}">
  <ds:schemaRefs/>
</ds:datastoreItem>
</file>

<file path=customXml/itemProps3.xml><?xml version="1.0" encoding="utf-8"?>
<ds:datastoreItem xmlns:ds="http://schemas.openxmlformats.org/officeDocument/2006/customXml" ds:itemID="{7C965D75-B355-480B-B000-469433388FB9}">
  <ds:schemaRefs/>
</ds:datastoreItem>
</file>

<file path=docProps/app.xml><?xml version="1.0" encoding="utf-8"?>
<Properties xmlns="http://schemas.openxmlformats.org/officeDocument/2006/extended-properties" xmlns:vt="http://schemas.openxmlformats.org/officeDocument/2006/docPropsVTypes">
  <Template>Normal</Template>
  <Company>IST</Company>
  <Pages>5</Pages>
  <Words>1114</Words>
  <Characters>6354</Characters>
  <Lines>52</Lines>
  <Paragraphs>14</Paragraphs>
  <TotalTime>362</TotalTime>
  <ScaleCrop>false</ScaleCrop>
  <LinksUpToDate>false</LinksUpToDate>
  <CharactersWithSpaces>7454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2025-09-30T07:50:00Z</dcterms:created>
  <dc:creator>GNSS Lab Engineer (Usama Ahmed)</dc:creator>
  <cp:lastModifiedBy>user</cp:lastModifiedBy>
  <cp:lastPrinted>2025-06-11T11:47:00Z</cp:lastPrinted>
  <dcterms:modified xsi:type="dcterms:W3CDTF">2025-10-13T03:44:10Z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0x01010052776335DEDC034C82C75A4DC8FD3FDB</vt:lpwstr>
  </property>
  <property fmtid="{D5CDD505-2E9C-101B-9397-08002B2CF9AE}" pid="3" name="KSOProductBuildVer">
    <vt:lpwstr>1033-12.2.0.22549</vt:lpwstr>
  </property>
  <property fmtid="{D5CDD505-2E9C-101B-9397-08002B2CF9AE}" pid="4" name="ICV">
    <vt:lpwstr>25CACF99E0D74C25B6149E271C316AA9_13</vt:lpwstr>
  </property>
</Properties>
</file>